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77777777" w:rsidR="008B78D8" w:rsidRPr="00A308AC" w:rsidRDefault="00A1053F" w:rsidP="00A1053F">
      <w:pPr>
        <w:pStyle w:val="Titre1"/>
        <w:spacing w:before="0" w:after="160"/>
        <w:rPr>
          <w:rFonts w:ascii="Georgia" w:hAnsi="Georgia"/>
        </w:rPr>
      </w:pPr>
      <w:r w:rsidRPr="00A308AC">
        <w:rPr>
          <w:rFonts w:ascii="Georgia" w:hAnsi="Georgia"/>
        </w:rPr>
        <w:t xml:space="preserve">RESUME EXECUTIF </w:t>
      </w:r>
    </w:p>
    <w:p w14:paraId="003C86D7" w14:textId="30001B86" w:rsidR="00A1053F" w:rsidRDefault="00167997" w:rsidP="00A1053F">
      <w:pPr>
        <w:pStyle w:val="Titre2"/>
        <w:spacing w:before="0" w:after="160"/>
        <w:ind w:left="576" w:hanging="576"/>
        <w:rPr>
          <w:rFonts w:ascii="Georgia" w:hAnsi="Georgia"/>
        </w:rPr>
      </w:pPr>
      <w:r w:rsidRPr="00A308AC">
        <w:rPr>
          <w:rFonts w:ascii="Georgia" w:hAnsi="Georgia"/>
        </w:rPr>
        <w:t>MTR RDC121</w:t>
      </w:r>
      <w:r w:rsidR="00D02DEE" w:rsidRPr="00A308AC">
        <w:rPr>
          <w:rFonts w:ascii="Georgia" w:hAnsi="Georgia"/>
        </w:rPr>
        <w:t>7</w:t>
      </w:r>
      <w:r w:rsidR="00E73818">
        <w:rPr>
          <w:rFonts w:ascii="Georgia" w:hAnsi="Georgia"/>
        </w:rPr>
        <w:t>1</w:t>
      </w:r>
      <w:r w:rsidRPr="00A308AC">
        <w:rPr>
          <w:rFonts w:ascii="Georgia" w:hAnsi="Georgia"/>
        </w:rPr>
        <w:t xml:space="preserve">111 </w:t>
      </w:r>
      <w:r w:rsidR="00E73818">
        <w:rPr>
          <w:rFonts w:ascii="Georgia" w:hAnsi="Georgia"/>
        </w:rPr>
        <w:t>PRODAKOR</w:t>
      </w:r>
      <w:bookmarkStart w:id="0" w:name="_GoBack"/>
      <w:bookmarkEnd w:id="0"/>
    </w:p>
    <w:p w14:paraId="1B730BD4" w14:textId="77777777" w:rsidR="00A308AC" w:rsidRPr="00A308AC" w:rsidRDefault="00A308AC" w:rsidP="00A308AC">
      <w:pPr>
        <w:rPr>
          <w:lang w:eastAsia="en-US"/>
        </w:rPr>
      </w:pPr>
    </w:p>
    <w:p w14:paraId="20BA3FB6" w14:textId="77777777" w:rsidR="00A308AC" w:rsidRPr="00A308AC" w:rsidRDefault="00A308AC" w:rsidP="00A308AC">
      <w:pPr>
        <w:pStyle w:val="Paragraphedeliste"/>
        <w:numPr>
          <w:ilvl w:val="0"/>
          <w:numId w:val="11"/>
        </w:numPr>
        <w:spacing w:after="160"/>
        <w:ind w:left="426" w:hanging="426"/>
        <w:jc w:val="both"/>
        <w:rPr>
          <w:rFonts w:ascii="Georgia" w:hAnsi="Georgia" w:cs="Arial"/>
          <w:b/>
          <w:color w:val="C00000"/>
          <w:sz w:val="20"/>
        </w:rPr>
      </w:pPr>
      <w:r w:rsidRPr="00A308AC">
        <w:rPr>
          <w:rFonts w:ascii="Georgia" w:hAnsi="Georgia" w:cs="Arial"/>
          <w:b/>
          <w:color w:val="C00000"/>
          <w:sz w:val="20"/>
        </w:rPr>
        <w:t xml:space="preserve">Objet </w:t>
      </w:r>
    </w:p>
    <w:p w14:paraId="242AE849" w14:textId="77777777" w:rsidR="00A308AC" w:rsidRPr="003169E1" w:rsidRDefault="00A308AC" w:rsidP="00A308AC">
      <w:pPr>
        <w:pStyle w:val="textetableau0"/>
      </w:pPr>
      <w:r w:rsidRPr="003169E1">
        <w:t xml:space="preserve">La CTB a fait procéder à l’évaluation à mi-parcours du Programme de développement agricole du Kasaï oriental (PRODAKOR). Comme le prévoit l’approche MORE </w:t>
      </w:r>
      <w:proofErr w:type="spellStart"/>
      <w:r w:rsidRPr="003169E1">
        <w:t>Results</w:t>
      </w:r>
      <w:proofErr w:type="spellEnd"/>
      <w:r w:rsidRPr="003169E1">
        <w:t>, qui constitue la référence pour les projets/programmes de la coopération belge, cette évaluation répond à une triple préoccupation : (i) Appui au pilotage ; (II) Contribution à l’apprentissage et (iii) Redevabilité.</w:t>
      </w:r>
    </w:p>
    <w:p w14:paraId="1D1DF0B8" w14:textId="77777777" w:rsidR="00A308AC" w:rsidRPr="003169E1" w:rsidRDefault="00A308AC" w:rsidP="00A308AC">
      <w:pPr>
        <w:pStyle w:val="textetableau0"/>
      </w:pPr>
      <w:r w:rsidRPr="003169E1">
        <w:t xml:space="preserve">Elle a pour objet de répondre : </w:t>
      </w:r>
    </w:p>
    <w:p w14:paraId="20A87F2A" w14:textId="77777777" w:rsidR="00A308AC" w:rsidRPr="00DF01C9" w:rsidRDefault="00A308AC" w:rsidP="00A308AC">
      <w:pPr>
        <w:pStyle w:val="resum3"/>
      </w:pPr>
      <w:r w:rsidRPr="00DF01C9">
        <w:t>à des questions génériques : Pertinence, Efficience, Efficacité, Impacts et durabilité ;</w:t>
      </w:r>
    </w:p>
    <w:p w14:paraId="7B232A32" w14:textId="77777777" w:rsidR="00A308AC" w:rsidRPr="00DF01C9" w:rsidRDefault="00A308AC" w:rsidP="00A308AC">
      <w:pPr>
        <w:pStyle w:val="resum3"/>
      </w:pPr>
      <w:r w:rsidRPr="00DF01C9">
        <w:t>à des questions plus spécifiques;</w:t>
      </w:r>
    </w:p>
    <w:p w14:paraId="0F16CC5C" w14:textId="77777777" w:rsidR="00A308AC" w:rsidRPr="00DF01C9" w:rsidRDefault="00A308AC" w:rsidP="00A308AC">
      <w:pPr>
        <w:pStyle w:val="resum3"/>
      </w:pPr>
      <w:r w:rsidRPr="00DF01C9">
        <w:t xml:space="preserve">à des préoccupations relatives aux thèmes transversaux : Genre, Environnement </w:t>
      </w:r>
    </w:p>
    <w:p w14:paraId="78AA9333" w14:textId="77777777" w:rsidR="00A308AC" w:rsidRPr="003169E1" w:rsidRDefault="00A308AC" w:rsidP="00A308AC">
      <w:pPr>
        <w:pStyle w:val="Resum2"/>
      </w:pPr>
      <w:r w:rsidRPr="003169E1">
        <w:t xml:space="preserve">La mission a été réalisée par une équipe SOPEX, dans le contexte du contrat cadre Agriculture BXL 1440. La mission en RDC s’est déroulée du jeudi 25 septembre (briefing) au mardi 17 octobre 2017 (dont Kasaï Oriental, du 26/09 au 13/10). </w:t>
      </w:r>
    </w:p>
    <w:p w14:paraId="42DE0B0E" w14:textId="77777777" w:rsidR="00A308AC" w:rsidRDefault="00A308AC" w:rsidP="00A308AC">
      <w:pPr>
        <w:pStyle w:val="Resum2"/>
      </w:pPr>
      <w:r w:rsidRPr="00DF01C9">
        <w:t>Le présent document est la version provisoire du rapport de la mission EMP.</w:t>
      </w:r>
    </w:p>
    <w:p w14:paraId="279977F1" w14:textId="77777777" w:rsidR="00A308AC" w:rsidRPr="00D60E0A" w:rsidRDefault="00A308AC" w:rsidP="00A308AC">
      <w:pPr>
        <w:pStyle w:val="Resum2"/>
        <w:numPr>
          <w:ilvl w:val="0"/>
          <w:numId w:val="0"/>
        </w:numPr>
        <w:ind w:left="1080"/>
      </w:pPr>
    </w:p>
    <w:p w14:paraId="5B5AF7EB" w14:textId="77777777" w:rsidR="00A308AC" w:rsidRPr="00A308AC" w:rsidRDefault="00A308AC" w:rsidP="00A308AC">
      <w:pPr>
        <w:pStyle w:val="Paragraphedeliste"/>
        <w:numPr>
          <w:ilvl w:val="0"/>
          <w:numId w:val="11"/>
        </w:numPr>
        <w:spacing w:after="160"/>
        <w:ind w:left="426" w:hanging="426"/>
        <w:jc w:val="both"/>
        <w:rPr>
          <w:rFonts w:ascii="Georgia" w:hAnsi="Georgia" w:cs="Arial"/>
          <w:b/>
          <w:color w:val="C00000"/>
          <w:sz w:val="20"/>
        </w:rPr>
      </w:pPr>
      <w:r w:rsidRPr="00A308AC">
        <w:rPr>
          <w:rFonts w:ascii="Georgia" w:hAnsi="Georgia" w:cs="Arial"/>
          <w:b/>
          <w:color w:val="C00000"/>
          <w:sz w:val="20"/>
        </w:rPr>
        <w:t>Description du PRODAKOR</w:t>
      </w:r>
    </w:p>
    <w:p w14:paraId="4BE5D86C" w14:textId="77777777" w:rsidR="00A308AC" w:rsidRPr="00DF01C9" w:rsidRDefault="00A308AC" w:rsidP="00A308AC">
      <w:pPr>
        <w:pStyle w:val="textetableau0"/>
      </w:pPr>
      <w:r w:rsidRPr="00DF01C9">
        <w:t>Le PRODAKOR s’intègre dans le programme d’intervention de la coopération belge en RDC, et plus particulièrement dans son pan agricole.</w:t>
      </w:r>
    </w:p>
    <w:p w14:paraId="4BAC9035" w14:textId="77777777" w:rsidR="00A308AC" w:rsidRPr="00DF01C9" w:rsidRDefault="00A308AC" w:rsidP="00A308AC">
      <w:pPr>
        <w:pStyle w:val="textetableau0"/>
      </w:pPr>
      <w:r w:rsidRPr="00DF01C9">
        <w:t>Il vise à réduire les contraintes majeures qui handicapent l’économie agricole locale et sont la cause de conditions de vie difficiles : fragilité du tissu économique, agriculture d’autosubsistance, pratiques agricoles peu productives, problèmes de distribution de la production, administration du secteur à renforcer, concertation insuffisante entre les acteurs.</w:t>
      </w:r>
    </w:p>
    <w:p w14:paraId="36252D74" w14:textId="77777777" w:rsidR="00A308AC" w:rsidRDefault="00A308AC" w:rsidP="00A308AC">
      <w:pPr>
        <w:pStyle w:val="textetableau0"/>
      </w:pPr>
      <w:r w:rsidRPr="00DF01C9">
        <w:t xml:space="preserve">La logique d’intervention s’articule comme suit : </w:t>
      </w:r>
    </w:p>
    <w:p w14:paraId="459B2DAB" w14:textId="77777777" w:rsidR="00A308AC" w:rsidRDefault="00A308AC" w:rsidP="00A308AC">
      <w:pPr>
        <w:pStyle w:val="textetableau0"/>
      </w:pPr>
    </w:p>
    <w:p w14:paraId="4B4D79B5" w14:textId="77777777" w:rsidR="00A308AC" w:rsidRPr="00A308AC" w:rsidRDefault="00A308AC" w:rsidP="00A308AC">
      <w:pPr>
        <w:pStyle w:val="Paragraphedeliste"/>
        <w:numPr>
          <w:ilvl w:val="0"/>
          <w:numId w:val="11"/>
        </w:numPr>
        <w:spacing w:after="160"/>
        <w:ind w:left="426" w:hanging="426"/>
        <w:jc w:val="both"/>
        <w:rPr>
          <w:rFonts w:ascii="Georgia" w:hAnsi="Georgia" w:cs="Arial"/>
          <w:b/>
          <w:color w:val="C00000"/>
          <w:sz w:val="20"/>
        </w:rPr>
      </w:pPr>
      <w:r w:rsidRPr="00A308AC">
        <w:rPr>
          <w:rFonts w:ascii="Georgia" w:hAnsi="Georgia" w:cs="Arial"/>
          <w:b/>
          <w:color w:val="C00000"/>
          <w:sz w:val="20"/>
        </w:rPr>
        <w:t>Objectifs</w:t>
      </w:r>
    </w:p>
    <w:p w14:paraId="7642E1ED" w14:textId="77777777" w:rsidR="00A308AC" w:rsidRPr="00DF01C9" w:rsidRDefault="00A308AC" w:rsidP="00A308AC">
      <w:pPr>
        <w:pStyle w:val="resum3"/>
      </w:pPr>
      <w:r w:rsidRPr="00DF01C9">
        <w:t>OG : Le déficit alimentaire et la pauvreté dans la province du Kasaï Oriental sont réduits par la relance durable du secteur agricole</w:t>
      </w:r>
    </w:p>
    <w:p w14:paraId="7EE244BE" w14:textId="77777777" w:rsidR="00A308AC" w:rsidRDefault="00A308AC" w:rsidP="00A308AC">
      <w:pPr>
        <w:pStyle w:val="resum3"/>
      </w:pPr>
      <w:r w:rsidRPr="00DF01C9">
        <w:t xml:space="preserve">OS : Les revenus des exploitations familiales provenant de leurs activités agricoles sont augmentés de façon durable dans un processus respectueux de l’environnement, en inscrivant les interventions dans les dynamiques du marché et en tenant compte des contraintes et des besoins différenciés des femmes et des hommes </w:t>
      </w:r>
    </w:p>
    <w:p w14:paraId="6D33E025" w14:textId="77777777" w:rsidR="00A308AC" w:rsidRPr="00DF01C9" w:rsidRDefault="00A308AC" w:rsidP="00A308AC">
      <w:pPr>
        <w:pStyle w:val="resum3"/>
        <w:numPr>
          <w:ilvl w:val="0"/>
          <w:numId w:val="0"/>
        </w:numPr>
        <w:ind w:left="1146"/>
      </w:pPr>
    </w:p>
    <w:p w14:paraId="497432C5" w14:textId="77777777" w:rsidR="00A308AC" w:rsidRPr="00A308AC" w:rsidRDefault="00A308AC" w:rsidP="00A308AC">
      <w:pPr>
        <w:pStyle w:val="Paragraphedeliste"/>
        <w:numPr>
          <w:ilvl w:val="0"/>
          <w:numId w:val="11"/>
        </w:numPr>
        <w:spacing w:after="160"/>
        <w:ind w:left="426" w:hanging="426"/>
        <w:jc w:val="both"/>
        <w:rPr>
          <w:rFonts w:ascii="Georgia" w:hAnsi="Georgia" w:cs="Arial"/>
          <w:b/>
          <w:color w:val="C00000"/>
          <w:sz w:val="20"/>
        </w:rPr>
      </w:pPr>
      <w:r w:rsidRPr="00A308AC">
        <w:rPr>
          <w:rFonts w:ascii="Georgia" w:hAnsi="Georgia" w:cs="Arial"/>
          <w:b/>
          <w:color w:val="C00000"/>
          <w:sz w:val="20"/>
        </w:rPr>
        <w:t xml:space="preserve">Résultats </w:t>
      </w:r>
    </w:p>
    <w:p w14:paraId="09CC9240" w14:textId="77777777" w:rsidR="00A308AC" w:rsidRPr="00DF01C9" w:rsidRDefault="00A308AC" w:rsidP="00A308AC">
      <w:pPr>
        <w:pStyle w:val="resum3"/>
      </w:pPr>
      <w:r w:rsidRPr="00DF01C9">
        <w:t xml:space="preserve">R1 - </w:t>
      </w:r>
      <w:r w:rsidRPr="00DF01C9">
        <w:rPr>
          <w:bCs/>
        </w:rPr>
        <w:t xml:space="preserve">Les services d’innovation technique, d’expérimentation paysanne et d’appui-conseil </w:t>
      </w:r>
      <w:r w:rsidRPr="00DF01C9">
        <w:t>destinés aux exploitations familiales sont améliorés. Ils émergent dans un processus d’autonomisation d’organisations paysannes au sein des villages et proposent des techniques innovantes susceptibles d’améliorer la rentabilité des exploitations familiales</w:t>
      </w:r>
    </w:p>
    <w:p w14:paraId="08135D32" w14:textId="77777777" w:rsidR="00A308AC" w:rsidRPr="00DF01C9" w:rsidRDefault="00A308AC" w:rsidP="00A308AC">
      <w:pPr>
        <w:pStyle w:val="resum3"/>
      </w:pPr>
      <w:r w:rsidRPr="00DF01C9">
        <w:t>R2 - Les services de conservation, de transformation et de commercialisation des produits des exploitations familiales sont améliorés</w:t>
      </w:r>
    </w:p>
    <w:p w14:paraId="69EB06A0" w14:textId="77777777" w:rsidR="00A308AC" w:rsidRPr="00DF01C9" w:rsidRDefault="00A308AC" w:rsidP="00A308AC">
      <w:pPr>
        <w:pStyle w:val="resum3"/>
      </w:pPr>
      <w:r w:rsidRPr="00DF01C9">
        <w:t>R3 - La gouvernance du secteur agricole dans la province est améliorée</w:t>
      </w:r>
    </w:p>
    <w:p w14:paraId="786A228E" w14:textId="77777777" w:rsidR="00A308AC" w:rsidRDefault="00A308AC" w:rsidP="00A308AC">
      <w:pPr>
        <w:pStyle w:val="resum3"/>
      </w:pPr>
      <w:r w:rsidRPr="00DF01C9">
        <w:t>R4 - Le leadership des femmes rurales est renforcé</w:t>
      </w:r>
    </w:p>
    <w:p w14:paraId="1ABC9A26" w14:textId="77777777" w:rsidR="00A308AC" w:rsidRPr="00BF6A53" w:rsidRDefault="00A308AC" w:rsidP="00A308AC">
      <w:pPr>
        <w:pStyle w:val="textetableau0"/>
      </w:pPr>
      <w:r w:rsidRPr="00BF6A53">
        <w:lastRenderedPageBreak/>
        <w:t>Le Programme s’étend du 03/07/2013 au 02/07/2020 (convention spécifique) pour une durée de mise en œuvre de 60 mois. Il est doté d’un financement de 11 millions d’euros.</w:t>
      </w:r>
    </w:p>
    <w:p w14:paraId="50726152" w14:textId="77777777" w:rsidR="00A308AC" w:rsidRPr="00BF6A53" w:rsidRDefault="00A308AC" w:rsidP="00A308AC">
      <w:pPr>
        <w:pStyle w:val="textetableau0"/>
      </w:pPr>
      <w:r w:rsidRPr="00BF6A53">
        <w:t>Il est réalisé en partenariat avec le Ministère provincial en charge de l’agriculture et du développement rural.</w:t>
      </w:r>
    </w:p>
    <w:p w14:paraId="4F0C657F" w14:textId="77777777" w:rsidR="00A308AC" w:rsidRPr="00BF6A53" w:rsidRDefault="00A308AC" w:rsidP="00A308AC">
      <w:pPr>
        <w:pStyle w:val="textetableau0"/>
      </w:pPr>
      <w:r w:rsidRPr="00BF6A53">
        <w:t>Les principaux groupes cibles sont les populations des zones d’interventions, au travers des organisations paysannes de base (OPB), ainsi que les acteurs publics provinciaux de l’agriculture et du développement rural (IPAPEL, IPDR) et les structures de coordinations régionales, en particulier CCP/CARG et COPROSEM, les acteurs privés des filières (producteurs semenciers, commerçants, prestataires de services et entrepreneurs).</w:t>
      </w:r>
    </w:p>
    <w:p w14:paraId="299EA9C1" w14:textId="77777777" w:rsidR="00A308AC" w:rsidRPr="00BF6A53" w:rsidRDefault="00A308AC" w:rsidP="00A308AC">
      <w:pPr>
        <w:pStyle w:val="textetableau0"/>
      </w:pPr>
      <w:r w:rsidRPr="00BF6A53">
        <w:t xml:space="preserve">Le programme est basé à </w:t>
      </w:r>
      <w:proofErr w:type="spellStart"/>
      <w:r w:rsidRPr="00BF6A53">
        <w:t>Mbuji</w:t>
      </w:r>
      <w:proofErr w:type="spellEnd"/>
      <w:r w:rsidRPr="00BF6A53">
        <w:t xml:space="preserve"> </w:t>
      </w:r>
      <w:proofErr w:type="spellStart"/>
      <w:r w:rsidRPr="00BF6A53">
        <w:t>Mayi</w:t>
      </w:r>
      <w:proofErr w:type="spellEnd"/>
      <w:r w:rsidRPr="00BF6A53">
        <w:t xml:space="preserve"> et intervient dans une quinzaine de bassins de production où il concentre son action pour une bonne efficacité, en liaison avec le PRODEKOR (désenclavement) et programme EDUKOR (formation)</w:t>
      </w:r>
      <w:r>
        <w:t>.</w:t>
      </w:r>
    </w:p>
    <w:p w14:paraId="46E32B2D" w14:textId="77777777" w:rsidR="00A308AC" w:rsidRPr="00277293" w:rsidRDefault="00A308AC" w:rsidP="00A308AC">
      <w:pPr>
        <w:pStyle w:val="textetableau0"/>
      </w:pPr>
      <w:r w:rsidRPr="00277293">
        <w:t xml:space="preserve">Lors de l’EMP, la situation budgétaire se présentait comme suit : </w:t>
      </w:r>
    </w:p>
    <w:p w14:paraId="13FC43ED" w14:textId="4277837F" w:rsidR="00A308AC" w:rsidRDefault="00E73818" w:rsidP="00A308AC">
      <w:pPr>
        <w:rPr>
          <w:highlight w:val="yellow"/>
        </w:rPr>
      </w:pPr>
      <w:r>
        <w:rPr>
          <w:noProof/>
          <w:lang w:val="en-US" w:eastAsia="en-US"/>
        </w:rPr>
        <w:pict w14:anchorId="2DF24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67.45pt;height:190.2pt;visibility:visible;mso-wrap-style:square">
            <v:imagedata r:id="rId6" o:title=""/>
          </v:shape>
        </w:pict>
      </w:r>
    </w:p>
    <w:p w14:paraId="4FC6A820" w14:textId="77777777" w:rsidR="00A308AC" w:rsidRDefault="00A308AC" w:rsidP="00A308AC">
      <w:pPr>
        <w:spacing w:after="120"/>
        <w:ind w:left="68"/>
        <w:rPr>
          <w:b/>
        </w:rPr>
      </w:pPr>
      <w:r w:rsidRPr="00EC587B">
        <w:rPr>
          <w:b/>
        </w:rPr>
        <w:t>Résultats observés</w:t>
      </w:r>
    </w:p>
    <w:p w14:paraId="132CA2FA"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R1 – Appui à la production</w:t>
      </w:r>
    </w:p>
    <w:p w14:paraId="32751202" w14:textId="77777777" w:rsidR="00A308AC" w:rsidRPr="005748B4" w:rsidRDefault="00A308AC" w:rsidP="00A308AC">
      <w:pPr>
        <w:pStyle w:val="textetableau0"/>
        <w:rPr>
          <w:kern w:val="18"/>
        </w:rPr>
      </w:pPr>
      <w:r w:rsidRPr="005748B4">
        <w:t xml:space="preserve">Ce résultat est </w:t>
      </w:r>
      <w:r>
        <w:t>c</w:t>
      </w:r>
      <w:r w:rsidRPr="005748B4">
        <w:rPr>
          <w:kern w:val="18"/>
        </w:rPr>
        <w:t>entré sur le renforcement de la production/productivité par</w:t>
      </w:r>
      <w:r w:rsidRPr="005748B4">
        <w:t xml:space="preserve"> le</w:t>
      </w:r>
      <w:r w:rsidRPr="005748B4">
        <w:rPr>
          <w:kern w:val="18"/>
        </w:rPr>
        <w:t xml:space="preserve"> développement des services  (innovation, expérimentation, appui conseil)</w:t>
      </w:r>
    </w:p>
    <w:p w14:paraId="5040B19D" w14:textId="77777777" w:rsidR="00A308AC" w:rsidRPr="005748B4" w:rsidRDefault="00A308AC" w:rsidP="00A308AC">
      <w:pPr>
        <w:pStyle w:val="textetableau0"/>
        <w:rPr>
          <w:kern w:val="18"/>
        </w:rPr>
      </w:pPr>
      <w:r w:rsidRPr="005748B4">
        <w:t xml:space="preserve">Il comporte </w:t>
      </w:r>
      <w:r w:rsidRPr="005748B4">
        <w:rPr>
          <w:kern w:val="18"/>
        </w:rPr>
        <w:t xml:space="preserve">3 </w:t>
      </w:r>
      <w:r w:rsidRPr="005748B4">
        <w:t xml:space="preserve">principaux </w:t>
      </w:r>
      <w:r w:rsidRPr="005748B4">
        <w:rPr>
          <w:kern w:val="18"/>
        </w:rPr>
        <w:t xml:space="preserve">axes : </w:t>
      </w:r>
    </w:p>
    <w:p w14:paraId="5CEABA89" w14:textId="77777777" w:rsidR="00A308AC" w:rsidRPr="005748B4" w:rsidRDefault="00A308AC" w:rsidP="00A308AC">
      <w:pPr>
        <w:pStyle w:val="resum3"/>
      </w:pPr>
      <w:r w:rsidRPr="005748B4">
        <w:t>Renforcement secteur semencier : appui au secteur semencier : introduction, base, certifiées, SQD</w:t>
      </w:r>
    </w:p>
    <w:p w14:paraId="34030631" w14:textId="77777777" w:rsidR="00A308AC" w:rsidRPr="005748B4" w:rsidRDefault="00A308AC" w:rsidP="00A308AC">
      <w:pPr>
        <w:pStyle w:val="resum3"/>
      </w:pPr>
      <w:r w:rsidRPr="005748B4">
        <w:t>Systèmes agricoles : vivrier et PH</w:t>
      </w:r>
    </w:p>
    <w:p w14:paraId="73115945" w14:textId="77777777" w:rsidR="00A308AC" w:rsidRPr="005748B4" w:rsidRDefault="00A308AC" w:rsidP="00A308AC">
      <w:pPr>
        <w:pStyle w:val="resum3"/>
      </w:pPr>
      <w:r w:rsidRPr="005748B4">
        <w:t>Renforcement appui conseil</w:t>
      </w:r>
    </w:p>
    <w:p w14:paraId="7B9A933D" w14:textId="77777777" w:rsidR="00A308AC" w:rsidRPr="005748B4" w:rsidRDefault="00A308AC" w:rsidP="00A308AC">
      <w:pPr>
        <w:pStyle w:val="textetableau0"/>
        <w:rPr>
          <w:kern w:val="18"/>
        </w:rPr>
      </w:pPr>
      <w:r w:rsidRPr="005748B4">
        <w:t>Son mode d’a</w:t>
      </w:r>
      <w:r w:rsidRPr="005748B4">
        <w:rPr>
          <w:kern w:val="18"/>
        </w:rPr>
        <w:t xml:space="preserve">ction </w:t>
      </w:r>
      <w:r w:rsidRPr="005748B4">
        <w:t xml:space="preserve">passe par les </w:t>
      </w:r>
      <w:r w:rsidRPr="005748B4">
        <w:rPr>
          <w:kern w:val="18"/>
        </w:rPr>
        <w:t xml:space="preserve">OPB (Formation, appui conseil, parcelle expérimentale) dans un but d’autonomisation </w:t>
      </w:r>
    </w:p>
    <w:p w14:paraId="740F9001" w14:textId="77777777" w:rsidR="00A308AC" w:rsidRDefault="00A308AC" w:rsidP="00A308AC">
      <w:pPr>
        <w:pStyle w:val="textetableau0"/>
      </w:pPr>
      <w:r w:rsidRPr="005748B4">
        <w:rPr>
          <w:kern w:val="18"/>
        </w:rPr>
        <w:t xml:space="preserve">Extension géographique progressive </w:t>
      </w:r>
      <w:r w:rsidRPr="005748B4">
        <w:t>(15 bassins de production)</w:t>
      </w:r>
    </w:p>
    <w:p w14:paraId="14147884" w14:textId="77777777" w:rsidR="00A308AC" w:rsidRPr="002A3D6E" w:rsidRDefault="00A308AC" w:rsidP="00A308AC">
      <w:pPr>
        <w:pStyle w:val="Pucetab"/>
        <w:rPr>
          <w:kern w:val="18"/>
        </w:rPr>
      </w:pPr>
      <w:r w:rsidRPr="002A3D6E">
        <w:rPr>
          <w:kern w:val="18"/>
        </w:rPr>
        <w:t>Semences</w:t>
      </w:r>
    </w:p>
    <w:p w14:paraId="7060270F" w14:textId="77777777" w:rsidR="00A308AC" w:rsidRPr="002A3D6E" w:rsidRDefault="00A308AC" w:rsidP="00A308AC">
      <w:pPr>
        <w:pStyle w:val="textetableau0"/>
      </w:pPr>
      <w:r w:rsidRPr="002A3D6E">
        <w:t>Stratégie de production semencière volontariste, cohérente, pertinente (mais économie mal connue)</w:t>
      </w:r>
    </w:p>
    <w:p w14:paraId="33C752C0" w14:textId="77777777" w:rsidR="00A308AC" w:rsidRPr="002A3D6E" w:rsidRDefault="00A308AC" w:rsidP="00A308AC">
      <w:pPr>
        <w:pStyle w:val="textetableau0"/>
      </w:pPr>
      <w:r w:rsidRPr="002A3D6E">
        <w:t xml:space="preserve">Les différents acteurs de la filière semencière (qui capitalise les actions CTB précédentes), </w:t>
      </w:r>
      <w:r>
        <w:t>ont</w:t>
      </w:r>
      <w:r w:rsidRPr="002A3D6E">
        <w:t xml:space="preserve"> manifesté une efficacité notable (voir valeur). Ils ont reçu formation, RC et mise en réseau (INERA, SENASEM/COPROSEM, APSKO, </w:t>
      </w:r>
      <w:proofErr w:type="spellStart"/>
      <w:r w:rsidRPr="002A3D6E">
        <w:t>AgriX</w:t>
      </w:r>
      <w:proofErr w:type="spellEnd"/>
      <w:r w:rsidRPr="002A3D6E">
        <w:t>)</w:t>
      </w:r>
    </w:p>
    <w:p w14:paraId="00BE6399" w14:textId="77777777" w:rsidR="00A308AC" w:rsidRPr="002A3D6E" w:rsidRDefault="00A308AC" w:rsidP="00A308AC">
      <w:pPr>
        <w:pStyle w:val="textetableau0"/>
      </w:pPr>
      <w:r w:rsidRPr="002A3D6E">
        <w:lastRenderedPageBreak/>
        <w:t xml:space="preserve">Plusieurs contraintes subsistent : </w:t>
      </w:r>
    </w:p>
    <w:p w14:paraId="22FFA1E0" w14:textId="77777777" w:rsidR="00A308AC" w:rsidRPr="002A3D6E" w:rsidRDefault="00A308AC" w:rsidP="00A308AC">
      <w:pPr>
        <w:pStyle w:val="resum3"/>
      </w:pPr>
      <w:r w:rsidRPr="002A3D6E">
        <w:t xml:space="preserve">La filière semencière n’est pas soumise à la vérité des prix (rémunération des acteurs, Pérennité) </w:t>
      </w:r>
    </w:p>
    <w:p w14:paraId="43F1D82E" w14:textId="77777777" w:rsidR="00A308AC" w:rsidRPr="002A3D6E" w:rsidRDefault="00A308AC" w:rsidP="00A308AC">
      <w:pPr>
        <w:pStyle w:val="resum3"/>
      </w:pPr>
      <w:r w:rsidRPr="002A3D6E">
        <w:t>Absence d’un dispositif permettant de programmer (avec anticipation) les mises en culture en fonction de la demande solvable</w:t>
      </w:r>
    </w:p>
    <w:p w14:paraId="2FFF3ED5" w14:textId="77777777" w:rsidR="00A308AC" w:rsidRPr="005748B4" w:rsidRDefault="00A308AC" w:rsidP="00A308AC">
      <w:pPr>
        <w:pStyle w:val="resum3"/>
      </w:pPr>
      <w:r w:rsidRPr="002A3D6E">
        <w:t>Problèmes de qualité signalés</w:t>
      </w:r>
    </w:p>
    <w:p w14:paraId="6E1A3290" w14:textId="77777777" w:rsidR="00A308AC" w:rsidRPr="00916DB3" w:rsidRDefault="00A308AC" w:rsidP="00A308AC">
      <w:pPr>
        <w:pStyle w:val="Pucetab"/>
        <w:rPr>
          <w:kern w:val="18"/>
        </w:rPr>
      </w:pPr>
      <w:r w:rsidRPr="00916DB3">
        <w:rPr>
          <w:kern w:val="18"/>
        </w:rPr>
        <w:t>Systèmes agricoles, innovation, diversification</w:t>
      </w:r>
    </w:p>
    <w:p w14:paraId="7E12BF8F" w14:textId="77777777" w:rsidR="00A308AC" w:rsidRPr="006D09D7" w:rsidRDefault="00A308AC" w:rsidP="00A308AC">
      <w:pPr>
        <w:pStyle w:val="resum3"/>
      </w:pPr>
      <w:r w:rsidRPr="006D09D7">
        <w:t>Prise de conscience (OPB) de la nécessité d’adopter de nouveaux systèmes et de l’efficacité (technique, économique) de certains d’entre eux (gestion de la matière organique)</w:t>
      </w:r>
    </w:p>
    <w:p w14:paraId="304BDDE4" w14:textId="77777777" w:rsidR="00A308AC" w:rsidRPr="006D09D7" w:rsidRDefault="00A308AC" w:rsidP="00A308AC">
      <w:pPr>
        <w:pStyle w:val="resum3"/>
      </w:pPr>
      <w:r w:rsidRPr="006D09D7">
        <w:t xml:space="preserve">Un vaste réseau de parcelles expérimentales existe - difficulté dans la mesure des extensions privées (mais </w:t>
      </w:r>
      <w:r>
        <w:t xml:space="preserve">on connait les taux d’adoption </w:t>
      </w:r>
      <w:r w:rsidRPr="006D09D7">
        <w:t>mono factoriels)</w:t>
      </w:r>
    </w:p>
    <w:p w14:paraId="698C40ED" w14:textId="77777777" w:rsidR="00A308AC" w:rsidRPr="006D09D7" w:rsidRDefault="00A308AC" w:rsidP="00A308AC">
      <w:pPr>
        <w:pStyle w:val="resum3"/>
      </w:pPr>
      <w:r w:rsidRPr="006D09D7">
        <w:t>Des rotations prometteuses, mais m</w:t>
      </w:r>
      <w:r>
        <w:t>aî</w:t>
      </w:r>
      <w:r w:rsidRPr="006D09D7">
        <w:t>trise « agronomique » des accompagnants à améliorer – réel besoin d’approfondissement</w:t>
      </w:r>
    </w:p>
    <w:p w14:paraId="44A3C0C7" w14:textId="77777777" w:rsidR="00A308AC" w:rsidRPr="006D09D7" w:rsidRDefault="00A308AC" w:rsidP="00A308AC">
      <w:pPr>
        <w:pStyle w:val="resum3"/>
      </w:pPr>
      <w:r w:rsidRPr="006D09D7">
        <w:t>Pas de réel suivi scientifique des effets de</w:t>
      </w:r>
      <w:r>
        <w:t>s</w:t>
      </w:r>
      <w:r w:rsidRPr="006D09D7">
        <w:t xml:space="preserve"> innovations proposées (et pas de possibilité de le faire) – des effets à confirmer dans le temps</w:t>
      </w:r>
    </w:p>
    <w:p w14:paraId="592775B9" w14:textId="77777777" w:rsidR="00A308AC" w:rsidRPr="006D09D7" w:rsidRDefault="00A308AC" w:rsidP="00A308AC">
      <w:pPr>
        <w:pStyle w:val="resum3"/>
      </w:pPr>
      <w:r w:rsidRPr="006D09D7">
        <w:t xml:space="preserve">Contraintes et limites </w:t>
      </w:r>
      <w:r>
        <w:t xml:space="preserve">de l’action </w:t>
      </w:r>
      <w:r w:rsidRPr="006D09D7">
        <w:t xml:space="preserve">: </w:t>
      </w:r>
    </w:p>
    <w:p w14:paraId="59DC1578" w14:textId="77777777" w:rsidR="00A308AC" w:rsidRPr="006D09D7" w:rsidRDefault="00A308AC" w:rsidP="00A308AC">
      <w:pPr>
        <w:pStyle w:val="Resum2"/>
      </w:pPr>
      <w:r w:rsidRPr="006D09D7">
        <w:t>Pas de réelle action de développement de l’outillage en liaison avec la généralisation des cultures SCV</w:t>
      </w:r>
    </w:p>
    <w:p w14:paraId="6B307F92" w14:textId="77777777" w:rsidR="00A308AC" w:rsidRPr="006D09D7" w:rsidRDefault="00A308AC" w:rsidP="00A308AC">
      <w:pPr>
        <w:pStyle w:val="Resum2"/>
      </w:pPr>
      <w:r w:rsidRPr="006D09D7">
        <w:t>Mauvaise maitrise de certaines pratiques</w:t>
      </w:r>
      <w:r>
        <w:t xml:space="preserve"> introduites par le projet ou non </w:t>
      </w:r>
      <w:r w:rsidRPr="006D09D7">
        <w:t xml:space="preserve">(cultures sens de la pente, développement </w:t>
      </w:r>
      <w:r>
        <w:t xml:space="preserve">spontané </w:t>
      </w:r>
      <w:r w:rsidRPr="006D09D7">
        <w:t>du labour motorisé violent de sols fragiles) : extensification contraire à l’approche.</w:t>
      </w:r>
    </w:p>
    <w:p w14:paraId="3E9B0238" w14:textId="77777777" w:rsidR="00A308AC" w:rsidRPr="006D09D7" w:rsidRDefault="00A308AC" w:rsidP="00A308AC">
      <w:pPr>
        <w:pStyle w:val="Resum2"/>
      </w:pPr>
      <w:r w:rsidRPr="006D09D7">
        <w:t>Risque de décalage des calendriers (évolution climatique)</w:t>
      </w:r>
    </w:p>
    <w:p w14:paraId="5BB0F3B0" w14:textId="77777777" w:rsidR="00A308AC" w:rsidRPr="006D09D7" w:rsidRDefault="00A308AC" w:rsidP="00A308AC">
      <w:pPr>
        <w:pStyle w:val="textetableau0"/>
        <w:rPr>
          <w:b/>
          <w:bCs/>
          <w:lang w:val="fr-BE"/>
        </w:rPr>
      </w:pPr>
      <w:r w:rsidRPr="006D09D7">
        <w:rPr>
          <w:b/>
          <w:bCs/>
          <w:lang w:val="fr-BE"/>
        </w:rPr>
        <w:t>Filières vivrières</w:t>
      </w:r>
    </w:p>
    <w:p w14:paraId="2E817C82" w14:textId="77777777" w:rsidR="00A308AC" w:rsidRPr="006D09D7" w:rsidRDefault="00A308AC" w:rsidP="00A308AC">
      <w:pPr>
        <w:pStyle w:val="resum3"/>
        <w:rPr>
          <w:kern w:val="28"/>
        </w:rPr>
      </w:pPr>
      <w:r w:rsidRPr="006D09D7">
        <w:rPr>
          <w:kern w:val="28"/>
        </w:rPr>
        <w:t>Une action indispensable en situation de déficit alimentaire dans les zones touchées (Maïs plébiscité, niébé et arachide implantés, soja limité (inoculum ? débouchés ?)</w:t>
      </w:r>
    </w:p>
    <w:p w14:paraId="38924B56" w14:textId="77777777" w:rsidR="00A308AC" w:rsidRPr="006D09D7" w:rsidRDefault="00A308AC" w:rsidP="00A308AC">
      <w:pPr>
        <w:pStyle w:val="resum3"/>
        <w:rPr>
          <w:kern w:val="28"/>
        </w:rPr>
      </w:pPr>
      <w:r w:rsidRPr="006D09D7">
        <w:rPr>
          <w:kern w:val="28"/>
        </w:rPr>
        <w:t xml:space="preserve">Un « mix – cultures » apprécié, qui prend en compte les attentes alimentaires et le maintien de la fertilité des sols  </w:t>
      </w:r>
    </w:p>
    <w:p w14:paraId="5F61005A" w14:textId="77777777" w:rsidR="00A308AC" w:rsidRPr="006D09D7" w:rsidRDefault="00A308AC" w:rsidP="00A308AC">
      <w:pPr>
        <w:pStyle w:val="resum3"/>
        <w:rPr>
          <w:kern w:val="28"/>
        </w:rPr>
      </w:pPr>
      <w:r w:rsidRPr="006D09D7">
        <w:rPr>
          <w:kern w:val="28"/>
        </w:rPr>
        <w:t>Une excellente adhésion des bénéficiaires</w:t>
      </w:r>
    </w:p>
    <w:p w14:paraId="27575BEE" w14:textId="77777777" w:rsidR="00A308AC" w:rsidRPr="006D09D7" w:rsidRDefault="00A308AC" w:rsidP="00A308AC">
      <w:pPr>
        <w:pStyle w:val="resum3"/>
        <w:rPr>
          <w:kern w:val="28"/>
        </w:rPr>
      </w:pPr>
      <w:r w:rsidRPr="006D09D7">
        <w:rPr>
          <w:kern w:val="28"/>
        </w:rPr>
        <w:t>Des rotations à confirmer dans le temps, sur des bases objectives</w:t>
      </w:r>
    </w:p>
    <w:p w14:paraId="5D6E8E21" w14:textId="77777777" w:rsidR="00A308AC" w:rsidRPr="006D09D7" w:rsidRDefault="00A308AC" w:rsidP="00A308AC">
      <w:pPr>
        <w:pStyle w:val="resum3"/>
        <w:rPr>
          <w:kern w:val="28"/>
        </w:rPr>
      </w:pPr>
      <w:r w:rsidRPr="006D09D7">
        <w:rPr>
          <w:kern w:val="28"/>
        </w:rPr>
        <w:t>Une bonne valorisation de l’action semencière</w:t>
      </w:r>
    </w:p>
    <w:p w14:paraId="754F6B91" w14:textId="77777777" w:rsidR="00A308AC" w:rsidRPr="006D09D7" w:rsidRDefault="00A308AC" w:rsidP="00A308AC">
      <w:pPr>
        <w:pStyle w:val="resum3"/>
        <w:rPr>
          <w:kern w:val="28"/>
        </w:rPr>
      </w:pPr>
      <w:r w:rsidRPr="006D09D7">
        <w:rPr>
          <w:kern w:val="28"/>
        </w:rPr>
        <w:t>Une nécessaire complémentarité à assurer avec le R2 (commercialisation, valorisation)</w:t>
      </w:r>
    </w:p>
    <w:p w14:paraId="02DE82E1" w14:textId="77777777" w:rsidR="00A308AC" w:rsidRPr="006D09D7" w:rsidRDefault="00A308AC" w:rsidP="00A308AC">
      <w:pPr>
        <w:pStyle w:val="textetableau0"/>
      </w:pPr>
      <w:r w:rsidRPr="006D09D7">
        <w:rPr>
          <w:b/>
          <w:bCs/>
          <w:lang w:val="fr-BE"/>
        </w:rPr>
        <w:t>Filière Palmier</w:t>
      </w:r>
    </w:p>
    <w:p w14:paraId="2D4FA61D" w14:textId="77777777" w:rsidR="00A308AC" w:rsidRPr="006D09D7" w:rsidRDefault="00A308AC" w:rsidP="00A308AC">
      <w:pPr>
        <w:pStyle w:val="resum3"/>
      </w:pPr>
      <w:r w:rsidRPr="006D09D7">
        <w:t>Une action pertinente, à large effet, globale, porteuse de revenus à venir, plébiscitée par les exploitations familiale</w:t>
      </w:r>
      <w:r>
        <w:t>s</w:t>
      </w:r>
    </w:p>
    <w:p w14:paraId="63A47F1A" w14:textId="77777777" w:rsidR="00A308AC" w:rsidRPr="006D09D7" w:rsidRDefault="00A308AC" w:rsidP="00A308AC">
      <w:pPr>
        <w:pStyle w:val="resum3"/>
      </w:pPr>
      <w:r w:rsidRPr="006D09D7">
        <w:t>Choix d’un matériel de haute qualité, opération pépinière réussi</w:t>
      </w:r>
      <w:r>
        <w:t>e</w:t>
      </w:r>
      <w:r w:rsidRPr="006D09D7">
        <w:t>, mais quantités injectées très en deçà des besoins, risques fonciers dans certains cas</w:t>
      </w:r>
    </w:p>
    <w:p w14:paraId="38ACEDC0" w14:textId="77777777" w:rsidR="00A308AC" w:rsidRPr="006D09D7" w:rsidRDefault="00A308AC" w:rsidP="00A308AC">
      <w:pPr>
        <w:pStyle w:val="resum3"/>
      </w:pPr>
      <w:r w:rsidRPr="006D09D7">
        <w:t>Pas encore d’effets impacts (ils ne seront pas vraiment visibles avant la fin du projet) – Mais forte demande transformation</w:t>
      </w:r>
    </w:p>
    <w:p w14:paraId="5D29A867" w14:textId="77777777" w:rsidR="00A308AC" w:rsidRPr="006D09D7" w:rsidRDefault="00A308AC" w:rsidP="00A308AC">
      <w:pPr>
        <w:pStyle w:val="resum3"/>
      </w:pPr>
      <w:r>
        <w:t xml:space="preserve">Un dispositif </w:t>
      </w:r>
      <w:r w:rsidRPr="006D09D7">
        <w:t xml:space="preserve">conçu pour une prise en charge à la base de la poursuite du programme de plantation, mais souvent encore mal maitrisé dans la pratique </w:t>
      </w:r>
    </w:p>
    <w:p w14:paraId="222E6677" w14:textId="77777777" w:rsidR="00A308AC" w:rsidRPr="006D09D7" w:rsidRDefault="00A308AC" w:rsidP="00A308AC">
      <w:pPr>
        <w:pStyle w:val="resum3"/>
      </w:pPr>
      <w:r w:rsidRPr="006D09D7">
        <w:t xml:space="preserve">Des risques importants pour le futur liés au choix du matériel végétal (hybride </w:t>
      </w:r>
      <w:proofErr w:type="spellStart"/>
      <w:r w:rsidRPr="006D09D7">
        <w:t>Palmelit</w:t>
      </w:r>
      <w:proofErr w:type="spellEnd"/>
      <w:r w:rsidRPr="006D09D7">
        <w:t xml:space="preserve">) </w:t>
      </w:r>
    </w:p>
    <w:p w14:paraId="691D9E0C" w14:textId="77777777" w:rsidR="00A308AC" w:rsidRPr="006D09D7" w:rsidRDefault="00A308AC" w:rsidP="00A308AC">
      <w:pPr>
        <w:pStyle w:val="Resum2"/>
      </w:pPr>
      <w:r w:rsidRPr="006D09D7">
        <w:t>Obligation de racheter les graines (prix élevés mais des paysans – et des moniteurs- envisagent inopportunément de démultiplier les hybrides : risque d’échec des extensions)</w:t>
      </w:r>
    </w:p>
    <w:p w14:paraId="304522C1" w14:textId="77777777" w:rsidR="00A308AC" w:rsidRPr="006D09D7" w:rsidRDefault="00A308AC" w:rsidP="00A308AC">
      <w:pPr>
        <w:pStyle w:val="Resum2"/>
      </w:pPr>
      <w:r w:rsidRPr="006D09D7">
        <w:t>Un seul cultivar diffusé (risques sanitaires ?)</w:t>
      </w:r>
    </w:p>
    <w:p w14:paraId="67530B45" w14:textId="77777777" w:rsidR="00A308AC" w:rsidRPr="006D09D7" w:rsidRDefault="00A308AC" w:rsidP="00A308AC">
      <w:pPr>
        <w:pStyle w:val="Resum2"/>
      </w:pPr>
      <w:r w:rsidRPr="006D09D7">
        <w:t>Un seul fournisseur (risque commercial)</w:t>
      </w:r>
    </w:p>
    <w:p w14:paraId="7A2AE246" w14:textId="77777777" w:rsidR="00A308AC" w:rsidRDefault="00A308AC" w:rsidP="00A308AC">
      <w:pPr>
        <w:pStyle w:val="textetableau0"/>
        <w:rPr>
          <w:b/>
          <w:bCs/>
          <w:lang w:val="fr-BE"/>
        </w:rPr>
      </w:pPr>
    </w:p>
    <w:p w14:paraId="5A379AED" w14:textId="77777777" w:rsidR="00A308AC" w:rsidRDefault="00A308AC" w:rsidP="00A308AC">
      <w:pPr>
        <w:pStyle w:val="textetableau0"/>
        <w:rPr>
          <w:b/>
          <w:bCs/>
          <w:lang w:val="fr-BE"/>
        </w:rPr>
      </w:pPr>
    </w:p>
    <w:p w14:paraId="77E44901" w14:textId="77777777" w:rsidR="00A308AC" w:rsidRPr="006D09D7" w:rsidRDefault="00A308AC" w:rsidP="00A308AC">
      <w:pPr>
        <w:pStyle w:val="textetableau0"/>
      </w:pPr>
      <w:r w:rsidRPr="006D09D7">
        <w:rPr>
          <w:b/>
          <w:bCs/>
          <w:lang w:val="fr-BE"/>
        </w:rPr>
        <w:lastRenderedPageBreak/>
        <w:t>Appui conseil</w:t>
      </w:r>
    </w:p>
    <w:p w14:paraId="0BD19DA2" w14:textId="77777777" w:rsidR="00A308AC" w:rsidRPr="006D09D7" w:rsidRDefault="00A308AC" w:rsidP="00A308AC">
      <w:pPr>
        <w:pStyle w:val="resum3"/>
      </w:pPr>
      <w:r w:rsidRPr="006D09D7">
        <w:t>Un double réseau (moniteurs et SERVICOM) présent dans la plupart des situations visitées (dispositifs appuyés aux différents niveaux) : les agents concernés sont :</w:t>
      </w:r>
    </w:p>
    <w:p w14:paraId="0399037B" w14:textId="77777777" w:rsidR="00A308AC" w:rsidRPr="006D09D7" w:rsidRDefault="00A308AC" w:rsidP="00A308AC">
      <w:pPr>
        <w:pStyle w:val="Resum2"/>
      </w:pPr>
      <w:r w:rsidRPr="006D09D7">
        <w:t xml:space="preserve">Appréciés par les bénéficiaires </w:t>
      </w:r>
    </w:p>
    <w:p w14:paraId="20273EEE" w14:textId="77777777" w:rsidR="00A308AC" w:rsidRPr="006D09D7" w:rsidRDefault="00A308AC" w:rsidP="00A308AC">
      <w:pPr>
        <w:pStyle w:val="Resum2"/>
      </w:pPr>
      <w:r w:rsidRPr="006D09D7">
        <w:t xml:space="preserve">Fiers de leur nouvelle façon d’exercer l’encadrement, malgré des problèmes de gestion des CS signalés (retards remboursements) </w:t>
      </w:r>
    </w:p>
    <w:p w14:paraId="1CA6019C" w14:textId="77777777" w:rsidR="00A308AC" w:rsidRPr="006D09D7" w:rsidRDefault="00A308AC" w:rsidP="00A308AC">
      <w:pPr>
        <w:pStyle w:val="resum3"/>
      </w:pPr>
      <w:r w:rsidRPr="006D09D7">
        <w:t>Des bénéficiaires qui apprécient cet encadrement rapproché (forte fréquence) après des années sans appui.</w:t>
      </w:r>
    </w:p>
    <w:p w14:paraId="27988CA6" w14:textId="77777777" w:rsidR="00A308AC" w:rsidRPr="006D09D7" w:rsidRDefault="00A308AC" w:rsidP="00A308AC">
      <w:pPr>
        <w:pStyle w:val="resum3"/>
      </w:pPr>
      <w:r w:rsidRPr="006D09D7">
        <w:t>Un dispositif de suivi des OPB en place, mais hétérogène et orienté vers les besoins des services d’appui conseil plutôt que centré sur l’OPB (et absence de gestion des historiques)</w:t>
      </w:r>
    </w:p>
    <w:p w14:paraId="22588104" w14:textId="77777777" w:rsidR="00A308AC" w:rsidRPr="006D09D7" w:rsidRDefault="00A308AC" w:rsidP="00A308AC">
      <w:pPr>
        <w:pStyle w:val="resum3"/>
      </w:pPr>
      <w:r w:rsidRPr="006D09D7">
        <w:t>Des synergies entre services prises en compte, mais pouvant être optimisées (plan d’appui conseil), dossiers OPB communs entre services ?)</w:t>
      </w:r>
    </w:p>
    <w:p w14:paraId="385A3F95" w14:textId="77777777" w:rsidR="00A308AC" w:rsidRDefault="00A308AC" w:rsidP="00A308AC">
      <w:pPr>
        <w:pStyle w:val="textetableau0"/>
      </w:pPr>
      <w:r w:rsidRPr="006D09D7">
        <w:t>Les activités sont connues et appréciées par les bénéficiaires, mais on ne dispose encore que d’un très faible recul pour mesurer les effets</w:t>
      </w:r>
    </w:p>
    <w:p w14:paraId="253BFC37" w14:textId="77777777" w:rsidR="00A308AC" w:rsidRDefault="00A308AC" w:rsidP="00A308AC">
      <w:pPr>
        <w:pStyle w:val="textetableau0"/>
      </w:pPr>
    </w:p>
    <w:p w14:paraId="79461BC1"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R2 – Appui à la valorisation</w:t>
      </w:r>
    </w:p>
    <w:p w14:paraId="11A3B925" w14:textId="77777777" w:rsidR="00A308AC" w:rsidRPr="006D09D7" w:rsidRDefault="00A308AC" w:rsidP="00A308AC">
      <w:pPr>
        <w:pStyle w:val="textetableau0"/>
      </w:pPr>
      <w:r w:rsidRPr="006D09D7">
        <w:rPr>
          <w:b/>
          <w:bCs/>
          <w:lang w:val="fr-BE"/>
        </w:rPr>
        <w:t xml:space="preserve">Objet, stratégie : </w:t>
      </w:r>
      <w:r w:rsidRPr="006D09D7">
        <w:rPr>
          <w:bCs/>
          <w:lang w:val="fr-BE"/>
        </w:rPr>
        <w:t xml:space="preserve">Stratégie fondée sur les atouts présents et les contraintes à lever : </w:t>
      </w:r>
    </w:p>
    <w:p w14:paraId="510287FF" w14:textId="77777777" w:rsidR="00A308AC" w:rsidRPr="006D09D7" w:rsidRDefault="00A308AC" w:rsidP="00A308AC">
      <w:pPr>
        <w:pStyle w:val="resum3"/>
      </w:pPr>
      <w:r w:rsidRPr="006D09D7">
        <w:t>Connaissance des marchés, des prix et des quantités disponibles</w:t>
      </w:r>
    </w:p>
    <w:p w14:paraId="69282D62" w14:textId="77777777" w:rsidR="00A308AC" w:rsidRPr="006D09D7" w:rsidRDefault="00A308AC" w:rsidP="00A308AC">
      <w:pPr>
        <w:pStyle w:val="resum3"/>
      </w:pPr>
      <w:r w:rsidRPr="006D09D7">
        <w:t xml:space="preserve">Bonne demande, </w:t>
      </w:r>
    </w:p>
    <w:p w14:paraId="4561EA15" w14:textId="77777777" w:rsidR="00A308AC" w:rsidRPr="006D09D7" w:rsidRDefault="00A308AC" w:rsidP="00A308AC">
      <w:pPr>
        <w:pStyle w:val="resum3"/>
      </w:pPr>
      <w:r w:rsidRPr="006D09D7">
        <w:t>Peu de transformation locale et de Valeur ajoutée</w:t>
      </w:r>
    </w:p>
    <w:p w14:paraId="585E0D88" w14:textId="77777777" w:rsidR="00A308AC" w:rsidRPr="006D09D7" w:rsidRDefault="00A308AC" w:rsidP="00A308AC">
      <w:pPr>
        <w:pStyle w:val="resum3"/>
      </w:pPr>
      <w:r w:rsidRPr="006D09D7">
        <w:t xml:space="preserve">Peu d’alternatives de commercialisation pour les producteurs, difficultés de transport et tracasseries, </w:t>
      </w:r>
    </w:p>
    <w:p w14:paraId="2B39F572" w14:textId="77777777" w:rsidR="00A308AC" w:rsidRPr="006D09D7" w:rsidRDefault="00A308AC" w:rsidP="00A308AC">
      <w:pPr>
        <w:pStyle w:val="resum3"/>
      </w:pPr>
      <w:r w:rsidRPr="006D09D7">
        <w:t>Position dominante des intermédiaires, unités de mesures non standardisées</w:t>
      </w:r>
    </w:p>
    <w:p w14:paraId="6989E47D" w14:textId="77777777" w:rsidR="00A308AC" w:rsidRPr="006D09D7" w:rsidRDefault="00A308AC" w:rsidP="00A308AC">
      <w:pPr>
        <w:pStyle w:val="resum3"/>
      </w:pPr>
      <w:r w:rsidRPr="006D09D7">
        <w:t xml:space="preserve">Rythme de vente en fonction des opportunités </w:t>
      </w:r>
    </w:p>
    <w:p w14:paraId="6A0F7396" w14:textId="77777777" w:rsidR="00A308AC" w:rsidRPr="006D09D7" w:rsidRDefault="00A308AC" w:rsidP="00A308AC">
      <w:pPr>
        <w:pStyle w:val="resum3"/>
      </w:pPr>
      <w:r w:rsidRPr="006D09D7">
        <w:t>Filières peu dotées en infrastructures</w:t>
      </w:r>
    </w:p>
    <w:p w14:paraId="6DD23C13" w14:textId="77777777" w:rsidR="00A308AC" w:rsidRPr="006D09D7" w:rsidRDefault="00A308AC" w:rsidP="00A308AC">
      <w:pPr>
        <w:pStyle w:val="textetableau0"/>
        <w:rPr>
          <w:b/>
        </w:rPr>
      </w:pPr>
      <w:r w:rsidRPr="006D09D7">
        <w:rPr>
          <w:b/>
        </w:rPr>
        <w:t>Principes</w:t>
      </w:r>
    </w:p>
    <w:p w14:paraId="35578509" w14:textId="77777777" w:rsidR="00A308AC" w:rsidRPr="006D09D7" w:rsidRDefault="00A308AC" w:rsidP="00A308AC">
      <w:pPr>
        <w:pStyle w:val="resum3"/>
      </w:pPr>
      <w:r w:rsidRPr="006D09D7">
        <w:t>Analyse des besoins des bénéficiaires</w:t>
      </w:r>
    </w:p>
    <w:p w14:paraId="799785E7" w14:textId="77777777" w:rsidR="00A308AC" w:rsidRPr="006D09D7" w:rsidRDefault="00A308AC" w:rsidP="00A308AC">
      <w:pPr>
        <w:pStyle w:val="resum3"/>
      </w:pPr>
      <w:r w:rsidRPr="006D09D7">
        <w:t>Amélioration de l'existant</w:t>
      </w:r>
    </w:p>
    <w:p w14:paraId="44F8F4BD" w14:textId="77777777" w:rsidR="00A308AC" w:rsidRPr="006D09D7" w:rsidRDefault="00A308AC" w:rsidP="00A308AC">
      <w:pPr>
        <w:pStyle w:val="resum3"/>
      </w:pPr>
      <w:r w:rsidRPr="006D09D7">
        <w:t>Valeur ajoutée locale et amélioration des revenus des exploitations familiales</w:t>
      </w:r>
    </w:p>
    <w:p w14:paraId="1DD1E063" w14:textId="77777777" w:rsidR="00A308AC" w:rsidRPr="006D09D7" w:rsidRDefault="00A308AC" w:rsidP="00A308AC">
      <w:pPr>
        <w:pStyle w:val="resum3"/>
      </w:pPr>
      <w:r w:rsidRPr="006D09D7">
        <w:t>Technologie pour le plus grand nombre, facile à dupliquer et maitrisable par les utilisateurs</w:t>
      </w:r>
    </w:p>
    <w:p w14:paraId="1799F4C2" w14:textId="77777777" w:rsidR="00A308AC" w:rsidRPr="006D09D7" w:rsidRDefault="00A308AC" w:rsidP="00A308AC">
      <w:pPr>
        <w:pStyle w:val="resum3"/>
      </w:pPr>
      <w:r w:rsidRPr="006D09D7">
        <w:t>Innovation testée et démonstration</w:t>
      </w:r>
    </w:p>
    <w:p w14:paraId="084F7233" w14:textId="77777777" w:rsidR="00A308AC" w:rsidRPr="006D09D7" w:rsidRDefault="00A308AC" w:rsidP="00A308AC">
      <w:pPr>
        <w:pStyle w:val="resum3"/>
      </w:pPr>
      <w:r w:rsidRPr="006D09D7">
        <w:t xml:space="preserve">Promotion de l'entreprenariat local </w:t>
      </w:r>
    </w:p>
    <w:p w14:paraId="6ADCB916" w14:textId="77777777" w:rsidR="00A308AC" w:rsidRPr="006D09D7" w:rsidRDefault="00A308AC" w:rsidP="00A308AC">
      <w:pPr>
        <w:pStyle w:val="resum3"/>
      </w:pPr>
      <w:r w:rsidRPr="006D09D7">
        <w:t>Contribution locale, gage d’appropriation</w:t>
      </w:r>
    </w:p>
    <w:p w14:paraId="30B5616D" w14:textId="77777777" w:rsidR="00A308AC" w:rsidRPr="006D09D7" w:rsidRDefault="00A308AC" w:rsidP="00A308AC">
      <w:pPr>
        <w:pStyle w:val="resum3"/>
      </w:pPr>
      <w:r w:rsidRPr="006D09D7">
        <w:t>Mise réseau des unités de transformation et de centre de stockage ;</w:t>
      </w:r>
    </w:p>
    <w:p w14:paraId="396763BF" w14:textId="77777777" w:rsidR="00A308AC" w:rsidRPr="006D09D7" w:rsidRDefault="00A308AC" w:rsidP="00A308AC">
      <w:pPr>
        <w:pStyle w:val="resum3"/>
      </w:pPr>
      <w:r w:rsidRPr="006D09D7">
        <w:t>Prise en compte du genre</w:t>
      </w:r>
    </w:p>
    <w:p w14:paraId="4E6A655C" w14:textId="77777777" w:rsidR="00A308AC" w:rsidRPr="006D09D7" w:rsidRDefault="00A308AC" w:rsidP="00A308AC">
      <w:pPr>
        <w:pStyle w:val="textetableau0"/>
        <w:spacing w:after="240"/>
      </w:pPr>
      <w:r w:rsidRPr="006D09D7">
        <w:t>Une action principalement envisagée au niveau des unions (5 retenues) mais prévoyant également la possibilité d’autres équipements /infrastructures</w:t>
      </w:r>
    </w:p>
    <w:p w14:paraId="62BF657E"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R3 – Gouvernance Secteur Public / renforcement des capacités</w:t>
      </w:r>
    </w:p>
    <w:p w14:paraId="63A58244" w14:textId="77777777" w:rsidR="00A308AC" w:rsidRPr="006D09D7" w:rsidRDefault="00A308AC" w:rsidP="00A308AC">
      <w:pPr>
        <w:pStyle w:val="textetableau0"/>
      </w:pPr>
      <w:r w:rsidRPr="006D09D7">
        <w:t>Double objet : Gouvernance provinciale : Gouvernance sectorielle et coordination sectorielle</w:t>
      </w:r>
    </w:p>
    <w:p w14:paraId="5F834F55" w14:textId="77777777" w:rsidR="00A308AC" w:rsidRPr="006D09D7" w:rsidRDefault="00A308AC" w:rsidP="00A308AC">
      <w:pPr>
        <w:pStyle w:val="resum3"/>
      </w:pPr>
      <w:r w:rsidRPr="006D09D7">
        <w:t>Mobilisation de moniteurs, animateurs ruraux et superviseurs</w:t>
      </w:r>
    </w:p>
    <w:p w14:paraId="4B87478B" w14:textId="77777777" w:rsidR="00A308AC" w:rsidRPr="006D09D7" w:rsidRDefault="00A308AC" w:rsidP="00A308AC">
      <w:pPr>
        <w:pStyle w:val="resum3"/>
      </w:pPr>
      <w:r w:rsidRPr="006D09D7">
        <w:t xml:space="preserve">Mise à niveau /recyclage des agents en place </w:t>
      </w:r>
    </w:p>
    <w:p w14:paraId="1FD08D45" w14:textId="77777777" w:rsidR="00A308AC" w:rsidRPr="006D09D7" w:rsidRDefault="00A308AC" w:rsidP="00A308AC">
      <w:pPr>
        <w:pStyle w:val="resum3"/>
      </w:pPr>
      <w:r w:rsidRPr="006D09D7">
        <w:t xml:space="preserve">Participation des agents mobilisés aux formations des OPB </w:t>
      </w:r>
    </w:p>
    <w:p w14:paraId="1EC84784" w14:textId="77777777" w:rsidR="00A308AC" w:rsidRPr="006D09D7" w:rsidRDefault="00A308AC" w:rsidP="00A308AC">
      <w:pPr>
        <w:pStyle w:val="resum3"/>
      </w:pPr>
      <w:r w:rsidRPr="006D09D7">
        <w:t>Facilitation des missions de suivi, conseils, moyens de déplacement, prise en charge (via des primes)</w:t>
      </w:r>
    </w:p>
    <w:p w14:paraId="046C5651" w14:textId="77777777" w:rsidR="00A308AC" w:rsidRPr="006D09D7" w:rsidRDefault="00A308AC" w:rsidP="00A308AC">
      <w:pPr>
        <w:pStyle w:val="resum3"/>
      </w:pPr>
      <w:r w:rsidRPr="006D09D7">
        <w:lastRenderedPageBreak/>
        <w:t>Appui en gestion comptable et financière / Convention subsides</w:t>
      </w:r>
    </w:p>
    <w:p w14:paraId="4B382037" w14:textId="77777777" w:rsidR="00A308AC" w:rsidRPr="006D09D7" w:rsidRDefault="00A308AC" w:rsidP="00A308AC">
      <w:pPr>
        <w:pStyle w:val="resum3"/>
      </w:pPr>
      <w:r w:rsidRPr="006D09D7">
        <w:t xml:space="preserve">Système de </w:t>
      </w:r>
      <w:r w:rsidRPr="0087518E">
        <w:rPr>
          <w:lang w:val="en-GB"/>
        </w:rPr>
        <w:t>reporting</w:t>
      </w:r>
      <w:r w:rsidRPr="006D09D7">
        <w:t xml:space="preserve"> /monitoring OPB </w:t>
      </w:r>
    </w:p>
    <w:p w14:paraId="4338C010" w14:textId="77777777" w:rsidR="00A308AC" w:rsidRPr="006D09D7" w:rsidRDefault="00A308AC" w:rsidP="00A308AC">
      <w:pPr>
        <w:pStyle w:val="Resum2"/>
      </w:pPr>
      <w:r w:rsidRPr="006D09D7">
        <w:t>La remise en action des encadrements de proximités formés et équipés est un point fort (Soft et hard), salué par tous.</w:t>
      </w:r>
    </w:p>
    <w:p w14:paraId="732CF6BB" w14:textId="77777777" w:rsidR="00A308AC" w:rsidRPr="006D09D7" w:rsidRDefault="00A308AC" w:rsidP="00A308AC">
      <w:pPr>
        <w:pStyle w:val="Resum2"/>
      </w:pPr>
      <w:r w:rsidRPr="006D09D7">
        <w:t>Inquiétude concernant la pérennité (fin du financement CTB et des CS.</w:t>
      </w:r>
    </w:p>
    <w:p w14:paraId="1F026ABB" w14:textId="77777777" w:rsidR="00A308AC" w:rsidRPr="002A4BB8" w:rsidRDefault="00A308AC" w:rsidP="00A308AC">
      <w:pPr>
        <w:pStyle w:val="Resum2"/>
      </w:pPr>
      <w:r w:rsidRPr="006D09D7">
        <w:t>Résultat significatif en matière de structuration, et d’évolution vers l’autonomie (catégories I, II). Pas encore de III (autonomes)</w:t>
      </w:r>
      <w:r w:rsidRPr="006D09D7">
        <w:rPr>
          <w:bCs/>
          <w:iCs/>
        </w:rPr>
        <w:t xml:space="preserve"> </w:t>
      </w:r>
    </w:p>
    <w:p w14:paraId="3AC55915" w14:textId="77777777" w:rsidR="00A308AC" w:rsidRDefault="00A308AC" w:rsidP="00A308AC">
      <w:pPr>
        <w:pStyle w:val="resum3"/>
      </w:pPr>
      <w:r w:rsidRPr="008051A8">
        <w:t>Autres : Mise en place et renforcement de dispositifs de pilotage des actions – comité de pilotage provincial sur la politique d’émergence des services d’appui à la production ; COPROSEM sur la semence – dialogue inter-acteur</w:t>
      </w:r>
      <w:r>
        <w:t>s</w:t>
      </w:r>
      <w:r w:rsidRPr="008051A8">
        <w:t>; SENAFIC – règlement et contrôle sanitaire dialogue avec les organisations professionnelles (paysans et phytosanitaires) ;</w:t>
      </w:r>
    </w:p>
    <w:p w14:paraId="3FF7499B"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R4 – Genre</w:t>
      </w:r>
    </w:p>
    <w:p w14:paraId="0CCF8405" w14:textId="77777777" w:rsidR="00A308AC" w:rsidRPr="006D09D7" w:rsidRDefault="00A308AC" w:rsidP="00A308AC">
      <w:pPr>
        <w:pStyle w:val="textetableau0"/>
      </w:pPr>
      <w:r w:rsidRPr="006D09D7">
        <w:t>Le genre est considéré selon une « Vision Programme » (commune aux 3 programmes).</w:t>
      </w:r>
    </w:p>
    <w:p w14:paraId="10087CF3" w14:textId="77777777" w:rsidR="00A308AC" w:rsidRPr="006D09D7" w:rsidRDefault="00A308AC" w:rsidP="00A308AC">
      <w:pPr>
        <w:pStyle w:val="textetableau0"/>
      </w:pPr>
      <w:r w:rsidRPr="006D09D7">
        <w:t>Le programme vise à :</w:t>
      </w:r>
    </w:p>
    <w:p w14:paraId="30AE348B" w14:textId="77777777" w:rsidR="00A308AC" w:rsidRPr="006D09D7" w:rsidRDefault="00A308AC" w:rsidP="00A308AC">
      <w:pPr>
        <w:pStyle w:val="resum3"/>
      </w:pPr>
      <w:r w:rsidRPr="006D09D7">
        <w:t>Améliorer la sensibilité au genre chez les acteurs sectoriels</w:t>
      </w:r>
    </w:p>
    <w:p w14:paraId="2622902A" w14:textId="77777777" w:rsidR="00A308AC" w:rsidRPr="006D09D7" w:rsidRDefault="00A308AC" w:rsidP="00A308AC">
      <w:pPr>
        <w:pStyle w:val="resum3"/>
      </w:pPr>
      <w:r w:rsidRPr="006D09D7">
        <w:t xml:space="preserve">Renforcement des capacités des femmes (sphère privée) pour : </w:t>
      </w:r>
    </w:p>
    <w:p w14:paraId="170162AB" w14:textId="77777777" w:rsidR="00A308AC" w:rsidRPr="006D09D7" w:rsidRDefault="00A308AC" w:rsidP="00A308AC">
      <w:pPr>
        <w:pStyle w:val="Resum2"/>
      </w:pPr>
      <w:r w:rsidRPr="006D09D7">
        <w:t>Développement des femmes comme actrices à part entière dans la société et l’économie (entreprise)</w:t>
      </w:r>
    </w:p>
    <w:p w14:paraId="2B32F192" w14:textId="77777777" w:rsidR="00A308AC" w:rsidRPr="006D09D7" w:rsidRDefault="00A308AC" w:rsidP="00A308AC">
      <w:pPr>
        <w:pStyle w:val="Resum2"/>
      </w:pPr>
      <w:r w:rsidRPr="006D09D7">
        <w:t>Améliorer la situation des femmes dans les différentes instances</w:t>
      </w:r>
    </w:p>
    <w:p w14:paraId="5C6A3166" w14:textId="77777777" w:rsidR="00A308AC" w:rsidRPr="006D09D7" w:rsidRDefault="00A308AC" w:rsidP="00A308AC">
      <w:pPr>
        <w:pStyle w:val="textetableau0"/>
      </w:pPr>
      <w:r w:rsidRPr="006D09D7">
        <w:t xml:space="preserve">Première phase non productive (?) </w:t>
      </w:r>
    </w:p>
    <w:p w14:paraId="70F5FB35" w14:textId="77777777" w:rsidR="00A308AC" w:rsidRPr="006D09D7" w:rsidRDefault="00A308AC" w:rsidP="00A308AC">
      <w:pPr>
        <w:pStyle w:val="textetableau0"/>
      </w:pPr>
      <w:r w:rsidRPr="006D09D7">
        <w:t>2</w:t>
      </w:r>
      <w:r w:rsidRPr="006D09D7">
        <w:rPr>
          <w:vertAlign w:val="superscript"/>
        </w:rPr>
        <w:t>e</w:t>
      </w:r>
      <w:r w:rsidRPr="006D09D7">
        <w:t xml:space="preserve"> phase - changement ATN</w:t>
      </w:r>
    </w:p>
    <w:p w14:paraId="27B30256" w14:textId="77777777" w:rsidR="00A308AC" w:rsidRPr="006D09D7" w:rsidRDefault="00A308AC" w:rsidP="00A308AC">
      <w:pPr>
        <w:pStyle w:val="resum3"/>
      </w:pPr>
      <w:r w:rsidRPr="006D09D7">
        <w:t xml:space="preserve">Vision globale du genre dans le </w:t>
      </w:r>
      <w:proofErr w:type="spellStart"/>
      <w:r w:rsidRPr="006D09D7">
        <w:t>Kor</w:t>
      </w:r>
      <w:proofErr w:type="spellEnd"/>
      <w:r w:rsidRPr="006D09D7">
        <w:t xml:space="preserve"> (diagnostic)</w:t>
      </w:r>
      <w:r>
        <w:t> ;</w:t>
      </w:r>
    </w:p>
    <w:p w14:paraId="196D6E3E" w14:textId="77777777" w:rsidR="00A308AC" w:rsidRPr="006D09D7" w:rsidRDefault="00A308AC" w:rsidP="00A308AC">
      <w:pPr>
        <w:pStyle w:val="resum3"/>
      </w:pPr>
      <w:r w:rsidRPr="006D09D7">
        <w:t>Le travail implique fortement les instances provinciales (Division genre)</w:t>
      </w:r>
      <w:r>
        <w:t> ;</w:t>
      </w:r>
    </w:p>
    <w:p w14:paraId="162B0190" w14:textId="77777777" w:rsidR="00A308AC" w:rsidRPr="006D09D7" w:rsidRDefault="00A308AC" w:rsidP="00A308AC">
      <w:pPr>
        <w:pStyle w:val="Resum2"/>
      </w:pPr>
      <w:r w:rsidRPr="006D09D7">
        <w:t>Etat des lieux des OP féminines engagées dans la transformation des produits agricoles</w:t>
      </w:r>
      <w:r>
        <w:t> ;</w:t>
      </w:r>
    </w:p>
    <w:p w14:paraId="0AE7BE44" w14:textId="77777777" w:rsidR="00A308AC" w:rsidRPr="006D09D7" w:rsidRDefault="00A308AC" w:rsidP="00A308AC">
      <w:pPr>
        <w:pStyle w:val="Resum2"/>
      </w:pPr>
      <w:r w:rsidRPr="006D09D7">
        <w:t>Formation d’un noyau de formateurs alphabétisation (40). Alphabétisation à venir</w:t>
      </w:r>
      <w:r>
        <w:t> ;</w:t>
      </w:r>
    </w:p>
    <w:p w14:paraId="777AFF15" w14:textId="77777777" w:rsidR="00A308AC" w:rsidRDefault="00A308AC" w:rsidP="00A308AC">
      <w:pPr>
        <w:pStyle w:val="Resum2"/>
      </w:pPr>
      <w:r w:rsidRPr="006D09D7">
        <w:t>Prise en compte du Genre de façon transversale dans toutes les activités du programme (non reflété dans les indicateurs</w:t>
      </w:r>
      <w:r>
        <w:t> ;</w:t>
      </w:r>
    </w:p>
    <w:p w14:paraId="4498B44D" w14:textId="77777777" w:rsidR="00A308AC" w:rsidRPr="006D09D7" w:rsidRDefault="00A308AC" w:rsidP="00A308AC">
      <w:pPr>
        <w:pStyle w:val="Resum2"/>
      </w:pPr>
      <w:r>
        <w:t xml:space="preserve">Mise en place d’un dispositif provincial d’appui aux actions genre ; </w:t>
      </w:r>
    </w:p>
    <w:p w14:paraId="3149C890" w14:textId="77777777" w:rsidR="00A308AC" w:rsidRPr="006D09D7" w:rsidRDefault="00A308AC" w:rsidP="00A308AC">
      <w:pPr>
        <w:pStyle w:val="Resum2"/>
      </w:pPr>
      <w:r w:rsidRPr="006D09D7">
        <w:t>Réalisations concrètes (micro entreprises) liées en particulier aux activités du R2 et appui FDI</w:t>
      </w:r>
      <w:r>
        <w:t>.</w:t>
      </w:r>
    </w:p>
    <w:p w14:paraId="76A006F0" w14:textId="77777777" w:rsidR="00A308AC" w:rsidRPr="00A308AC" w:rsidRDefault="00A308AC" w:rsidP="00A308AC">
      <w:pPr>
        <w:pStyle w:val="Paragraphedeliste"/>
        <w:numPr>
          <w:ilvl w:val="0"/>
          <w:numId w:val="11"/>
        </w:numPr>
        <w:spacing w:after="160"/>
        <w:ind w:left="426" w:hanging="426"/>
        <w:jc w:val="both"/>
        <w:rPr>
          <w:rFonts w:ascii="Georgia" w:hAnsi="Georgia" w:cs="Arial"/>
          <w:b/>
          <w:color w:val="C00000"/>
          <w:sz w:val="20"/>
        </w:rPr>
      </w:pPr>
      <w:r w:rsidRPr="00A308AC">
        <w:rPr>
          <w:rFonts w:ascii="Georgia" w:hAnsi="Georgia" w:cs="Arial"/>
          <w:b/>
          <w:color w:val="C00000"/>
          <w:sz w:val="20"/>
        </w:rPr>
        <w:t>Réponses aux questions d’évaluation</w:t>
      </w:r>
    </w:p>
    <w:p w14:paraId="74372217"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Cotations d’évaluation selon les critères CAD</w:t>
      </w:r>
    </w:p>
    <w:tbl>
      <w:tblPr>
        <w:tblW w:w="2953" w:type="pct"/>
        <w:jc w:val="center"/>
        <w:tblCellMar>
          <w:top w:w="15" w:type="dxa"/>
          <w:left w:w="70" w:type="dxa"/>
          <w:bottom w:w="15" w:type="dxa"/>
          <w:right w:w="70" w:type="dxa"/>
        </w:tblCellMar>
        <w:tblLook w:val="0000" w:firstRow="0" w:lastRow="0" w:firstColumn="0" w:lastColumn="0" w:noHBand="0" w:noVBand="0"/>
      </w:tblPr>
      <w:tblGrid>
        <w:gridCol w:w="2495"/>
        <w:gridCol w:w="779"/>
        <w:gridCol w:w="779"/>
        <w:gridCol w:w="779"/>
        <w:gridCol w:w="779"/>
      </w:tblGrid>
      <w:tr w:rsidR="00A308AC" w14:paraId="0F0E9766" w14:textId="77777777" w:rsidTr="001D4B96">
        <w:trPr>
          <w:jc w:val="center"/>
        </w:trPr>
        <w:tc>
          <w:tcPr>
            <w:tcW w:w="2224" w:type="pct"/>
            <w:vMerge w:val="restart"/>
            <w:tcBorders>
              <w:top w:val="single" w:sz="4" w:space="0" w:color="000000"/>
              <w:left w:val="single" w:sz="4" w:space="0" w:color="000000"/>
              <w:right w:val="single" w:sz="4" w:space="0" w:color="auto"/>
            </w:tcBorders>
            <w:shd w:val="clear" w:color="auto" w:fill="auto"/>
            <w:vAlign w:val="center"/>
          </w:tcPr>
          <w:p w14:paraId="0223C4C5" w14:textId="77777777" w:rsidR="00A308AC" w:rsidRDefault="00A308AC" w:rsidP="001D4B96">
            <w:pPr>
              <w:pStyle w:val="Textetableau"/>
            </w:pPr>
            <w:r>
              <w:t>Critère</w:t>
            </w:r>
          </w:p>
        </w:tc>
        <w:tc>
          <w:tcPr>
            <w:tcW w:w="2776"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406926" w14:textId="77777777" w:rsidR="00A308AC" w:rsidRDefault="00A308AC" w:rsidP="001D4B96">
            <w:pPr>
              <w:pStyle w:val="Textetableau"/>
            </w:pPr>
            <w:r>
              <w:t>Cotation</w:t>
            </w:r>
          </w:p>
        </w:tc>
      </w:tr>
      <w:tr w:rsidR="00A308AC" w14:paraId="21D2A096" w14:textId="77777777" w:rsidTr="001D4B96">
        <w:trPr>
          <w:jc w:val="center"/>
        </w:trPr>
        <w:tc>
          <w:tcPr>
            <w:tcW w:w="2224" w:type="pct"/>
            <w:vMerge/>
            <w:tcBorders>
              <w:top w:val="single" w:sz="4" w:space="0" w:color="000000"/>
              <w:left w:val="single" w:sz="4" w:space="0" w:color="000000"/>
              <w:right w:val="single" w:sz="4" w:space="0" w:color="000000"/>
            </w:tcBorders>
            <w:shd w:val="clear" w:color="auto" w:fill="auto"/>
            <w:vAlign w:val="center"/>
          </w:tcPr>
          <w:p w14:paraId="3DD2DE33" w14:textId="77777777" w:rsidR="00A308AC" w:rsidRDefault="00A308AC" w:rsidP="001D4B96">
            <w:pPr>
              <w:pStyle w:val="Textetableau"/>
            </w:pPr>
          </w:p>
        </w:tc>
        <w:tc>
          <w:tcPr>
            <w:tcW w:w="694" w:type="pct"/>
            <w:tcBorders>
              <w:top w:val="single" w:sz="4" w:space="0" w:color="auto"/>
              <w:left w:val="single" w:sz="4" w:space="0" w:color="000000"/>
              <w:bottom w:val="single" w:sz="4" w:space="0" w:color="000000"/>
              <w:right w:val="single" w:sz="4" w:space="0" w:color="000000"/>
            </w:tcBorders>
            <w:shd w:val="clear" w:color="auto" w:fill="auto"/>
            <w:vAlign w:val="bottom"/>
          </w:tcPr>
          <w:p w14:paraId="5DA32291" w14:textId="77777777" w:rsidR="00A308AC" w:rsidRDefault="00A308AC" w:rsidP="001D4B96">
            <w:pPr>
              <w:pStyle w:val="Textetableau"/>
            </w:pPr>
            <w:r>
              <w:t>A</w:t>
            </w:r>
          </w:p>
        </w:tc>
        <w:tc>
          <w:tcPr>
            <w:tcW w:w="694" w:type="pct"/>
            <w:tcBorders>
              <w:top w:val="single" w:sz="4" w:space="0" w:color="auto"/>
              <w:left w:val="single" w:sz="4" w:space="0" w:color="000000"/>
              <w:bottom w:val="single" w:sz="4" w:space="0" w:color="000000"/>
              <w:right w:val="single" w:sz="4" w:space="0" w:color="000000"/>
            </w:tcBorders>
            <w:shd w:val="clear" w:color="auto" w:fill="auto"/>
            <w:vAlign w:val="bottom"/>
          </w:tcPr>
          <w:p w14:paraId="5671FEEC" w14:textId="77777777" w:rsidR="00A308AC" w:rsidRDefault="00A308AC" w:rsidP="001D4B96">
            <w:pPr>
              <w:pStyle w:val="Textetableau"/>
            </w:pPr>
            <w:r>
              <w:t>B</w:t>
            </w:r>
          </w:p>
        </w:tc>
        <w:tc>
          <w:tcPr>
            <w:tcW w:w="694" w:type="pct"/>
            <w:tcBorders>
              <w:top w:val="single" w:sz="4" w:space="0" w:color="auto"/>
              <w:left w:val="single" w:sz="4" w:space="0" w:color="000000"/>
              <w:bottom w:val="single" w:sz="4" w:space="0" w:color="000000"/>
              <w:right w:val="single" w:sz="4" w:space="0" w:color="000000"/>
            </w:tcBorders>
            <w:shd w:val="clear" w:color="auto" w:fill="auto"/>
            <w:vAlign w:val="bottom"/>
          </w:tcPr>
          <w:p w14:paraId="6E4D934D" w14:textId="77777777" w:rsidR="00A308AC" w:rsidRDefault="00A308AC" w:rsidP="001D4B96">
            <w:pPr>
              <w:pStyle w:val="Textetableau"/>
            </w:pPr>
            <w:r>
              <w:t>C</w:t>
            </w:r>
          </w:p>
        </w:tc>
        <w:tc>
          <w:tcPr>
            <w:tcW w:w="695" w:type="pct"/>
            <w:tcBorders>
              <w:top w:val="single" w:sz="4" w:space="0" w:color="auto"/>
              <w:left w:val="single" w:sz="4" w:space="0" w:color="000000"/>
              <w:bottom w:val="single" w:sz="4" w:space="0" w:color="000000"/>
              <w:right w:val="single" w:sz="4" w:space="0" w:color="000000"/>
            </w:tcBorders>
            <w:shd w:val="clear" w:color="auto" w:fill="auto"/>
            <w:vAlign w:val="bottom"/>
          </w:tcPr>
          <w:p w14:paraId="3118DC92" w14:textId="77777777" w:rsidR="00A308AC" w:rsidRDefault="00A308AC" w:rsidP="001D4B96">
            <w:pPr>
              <w:pStyle w:val="Textetableau"/>
            </w:pPr>
            <w:r>
              <w:t>D</w:t>
            </w:r>
          </w:p>
        </w:tc>
      </w:tr>
      <w:tr w:rsidR="00A308AC" w:rsidRPr="00C3154B" w14:paraId="3D12173F" w14:textId="77777777" w:rsidTr="001D4B96">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76246" w14:textId="77777777" w:rsidR="00A308AC" w:rsidRPr="006D09D7" w:rsidRDefault="00A308AC" w:rsidP="001D4B96">
            <w:pPr>
              <w:pStyle w:val="Textetableau"/>
              <w:rPr>
                <w:b/>
              </w:rPr>
            </w:pPr>
            <w:r w:rsidRPr="006D09D7">
              <w:t>Pertinence</w:t>
            </w:r>
          </w:p>
        </w:tc>
        <w:tc>
          <w:tcPr>
            <w:tcW w:w="694" w:type="pct"/>
            <w:tcBorders>
              <w:top w:val="single" w:sz="4" w:space="0" w:color="000000"/>
              <w:left w:val="single" w:sz="4" w:space="0" w:color="000000"/>
              <w:bottom w:val="single" w:sz="4" w:space="0" w:color="000000"/>
              <w:right w:val="single" w:sz="4" w:space="0" w:color="000000"/>
            </w:tcBorders>
            <w:shd w:val="clear" w:color="auto" w:fill="92D050"/>
            <w:vAlign w:val="center"/>
          </w:tcPr>
          <w:p w14:paraId="2131F1B8"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12F4F7"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4C6865" w14:textId="77777777" w:rsidR="00A308AC" w:rsidRPr="00C3154B" w:rsidRDefault="00A308AC" w:rsidP="001D4B96">
            <w:pPr>
              <w:pStyle w:val="Textetableau"/>
              <w:rPr>
                <w:highlight w:val="yellow"/>
              </w:rPr>
            </w:pP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C4DBB2A" w14:textId="77777777" w:rsidR="00A308AC" w:rsidRPr="00C3154B" w:rsidRDefault="00A308AC" w:rsidP="001D4B96">
            <w:pPr>
              <w:pStyle w:val="Textetableau"/>
              <w:rPr>
                <w:highlight w:val="yellow"/>
              </w:rPr>
            </w:pPr>
          </w:p>
        </w:tc>
      </w:tr>
      <w:tr w:rsidR="00A308AC" w:rsidRPr="00C3154B" w14:paraId="64A1E51E" w14:textId="77777777" w:rsidTr="001D4B96">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28F52" w14:textId="77777777" w:rsidR="00A308AC" w:rsidRPr="006D09D7" w:rsidRDefault="00A308AC" w:rsidP="001D4B96">
            <w:pPr>
              <w:pStyle w:val="Textetableau"/>
              <w:rPr>
                <w:b/>
              </w:rPr>
            </w:pPr>
            <w:r w:rsidRPr="006D09D7">
              <w:t>Efficience</w:t>
            </w: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51128E9" w14:textId="77777777" w:rsidR="00A308AC" w:rsidRPr="00C3154B" w:rsidRDefault="00A308AC" w:rsidP="001D4B96">
            <w:pPr>
              <w:pStyle w:val="Textetableau"/>
              <w:rPr>
                <w:highlight w:val="yellow"/>
              </w:rPr>
            </w:pPr>
          </w:p>
        </w:tc>
        <w:tc>
          <w:tcPr>
            <w:tcW w:w="694" w:type="pct"/>
            <w:tcBorders>
              <w:top w:val="single" w:sz="4" w:space="0" w:color="000000"/>
              <w:bottom w:val="single" w:sz="4" w:space="0" w:color="000000"/>
            </w:tcBorders>
            <w:shd w:val="clear" w:color="auto" w:fill="auto"/>
            <w:vAlign w:val="bottom"/>
          </w:tcPr>
          <w:p w14:paraId="6E5B50AD"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4032FB7A" w14:textId="77777777" w:rsidR="00A308AC" w:rsidRPr="00C3154B" w:rsidRDefault="00A308AC" w:rsidP="001D4B96">
            <w:pPr>
              <w:pStyle w:val="Textetableau"/>
              <w:rPr>
                <w:highlight w:val="yellow"/>
              </w:rPr>
            </w:pP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E65042" w14:textId="77777777" w:rsidR="00A308AC" w:rsidRPr="00C3154B" w:rsidRDefault="00A308AC" w:rsidP="001D4B96">
            <w:pPr>
              <w:pStyle w:val="Textetableau"/>
              <w:rPr>
                <w:highlight w:val="yellow"/>
              </w:rPr>
            </w:pPr>
          </w:p>
        </w:tc>
      </w:tr>
      <w:tr w:rsidR="00A308AC" w:rsidRPr="00C3154B" w14:paraId="0770E782" w14:textId="77777777" w:rsidTr="001D4B96">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DF9487" w14:textId="77777777" w:rsidR="00A308AC" w:rsidRPr="006D09D7" w:rsidRDefault="00A308AC" w:rsidP="001D4B96">
            <w:pPr>
              <w:pStyle w:val="Textetableau"/>
              <w:rPr>
                <w:b/>
              </w:rPr>
            </w:pPr>
            <w:r w:rsidRPr="006D09D7">
              <w:t>Efficacité</w:t>
            </w: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951D6B5"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03A6CB87"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DAB17E" w14:textId="77777777" w:rsidR="00A308AC" w:rsidRPr="00C3154B" w:rsidRDefault="00A308AC" w:rsidP="001D4B96">
            <w:pPr>
              <w:pStyle w:val="Textetableau"/>
              <w:rPr>
                <w:highlight w:val="yellow"/>
              </w:rPr>
            </w:pP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0D7F222" w14:textId="77777777" w:rsidR="00A308AC" w:rsidRPr="00C3154B" w:rsidRDefault="00A308AC" w:rsidP="001D4B96">
            <w:pPr>
              <w:pStyle w:val="Textetableau"/>
              <w:rPr>
                <w:highlight w:val="yellow"/>
              </w:rPr>
            </w:pPr>
          </w:p>
        </w:tc>
      </w:tr>
      <w:tr w:rsidR="00A308AC" w:rsidRPr="00C3154B" w14:paraId="2372B05B" w14:textId="77777777" w:rsidTr="001D4B96">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6E21F3" w14:textId="77777777" w:rsidR="00A308AC" w:rsidRPr="006D09D7" w:rsidRDefault="00A308AC" w:rsidP="001D4B96">
            <w:pPr>
              <w:pStyle w:val="Textetableau"/>
              <w:rPr>
                <w:b/>
              </w:rPr>
            </w:pPr>
            <w:r w:rsidRPr="006D09D7">
              <w:t>Impact</w:t>
            </w: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91911D6"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FFFF00"/>
            <w:vAlign w:val="center"/>
          </w:tcPr>
          <w:p w14:paraId="61CE1F2C"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B8ED26C" w14:textId="77777777" w:rsidR="00A308AC" w:rsidRPr="00C3154B" w:rsidRDefault="00A308AC" w:rsidP="001D4B96">
            <w:pPr>
              <w:pStyle w:val="Textetableau"/>
              <w:rPr>
                <w:highlight w:val="yellow"/>
              </w:rPr>
            </w:pPr>
          </w:p>
        </w:tc>
        <w:tc>
          <w:tcPr>
            <w:tcW w:w="6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12B413D" w14:textId="77777777" w:rsidR="00A308AC" w:rsidRPr="00C3154B" w:rsidRDefault="00A308AC" w:rsidP="001D4B96">
            <w:pPr>
              <w:pStyle w:val="Textetableau"/>
              <w:rPr>
                <w:highlight w:val="yellow"/>
              </w:rPr>
            </w:pPr>
          </w:p>
        </w:tc>
      </w:tr>
      <w:tr w:rsidR="00A308AC" w:rsidRPr="00C3154B" w14:paraId="0B81F3A6" w14:textId="77777777" w:rsidTr="001D4B96">
        <w:trPr>
          <w:jc w:val="center"/>
        </w:trPr>
        <w:tc>
          <w:tcPr>
            <w:tcW w:w="2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E45BD1" w14:textId="77777777" w:rsidR="00A308AC" w:rsidRPr="006D09D7" w:rsidRDefault="00A308AC" w:rsidP="001D4B96">
            <w:pPr>
              <w:pStyle w:val="Textetableau"/>
              <w:rPr>
                <w:b/>
              </w:rPr>
            </w:pPr>
            <w:r w:rsidRPr="006D09D7">
              <w:t>Durabilité</w:t>
            </w: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A322B7"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D778C63" w14:textId="77777777" w:rsidR="00A308AC" w:rsidRPr="00C3154B" w:rsidRDefault="00A308AC" w:rsidP="001D4B96">
            <w:pPr>
              <w:pStyle w:val="Textetableau"/>
              <w:rPr>
                <w:highlight w:val="yellow"/>
              </w:rPr>
            </w:pPr>
          </w:p>
        </w:tc>
        <w:tc>
          <w:tcPr>
            <w:tcW w:w="694" w:type="pct"/>
            <w:tcBorders>
              <w:top w:val="single" w:sz="4" w:space="0" w:color="000000"/>
              <w:left w:val="single" w:sz="4" w:space="0" w:color="000000"/>
              <w:bottom w:val="single" w:sz="4" w:space="0" w:color="000000"/>
              <w:right w:val="single" w:sz="4" w:space="0" w:color="000000"/>
            </w:tcBorders>
            <w:shd w:val="clear" w:color="auto" w:fill="FFC000"/>
            <w:vAlign w:val="center"/>
          </w:tcPr>
          <w:p w14:paraId="6E51B4DD" w14:textId="77777777" w:rsidR="00A308AC" w:rsidRPr="00C3154B" w:rsidRDefault="00A308AC" w:rsidP="001D4B96">
            <w:pPr>
              <w:pStyle w:val="Textetableau"/>
              <w:rPr>
                <w:highlight w:val="yellow"/>
              </w:rPr>
            </w:pPr>
          </w:p>
        </w:tc>
        <w:tc>
          <w:tcPr>
            <w:tcW w:w="695" w:type="pct"/>
            <w:tcBorders>
              <w:top w:val="single" w:sz="4" w:space="0" w:color="000000"/>
              <w:left w:val="single" w:sz="4" w:space="0" w:color="000000"/>
              <w:bottom w:val="single" w:sz="4" w:space="0" w:color="000000"/>
              <w:right w:val="single" w:sz="4" w:space="0" w:color="000000"/>
            </w:tcBorders>
            <w:shd w:val="clear" w:color="auto" w:fill="FF0000"/>
            <w:vAlign w:val="bottom"/>
          </w:tcPr>
          <w:p w14:paraId="4F9468B6" w14:textId="77777777" w:rsidR="00A308AC" w:rsidRPr="00C3154B" w:rsidRDefault="00A308AC" w:rsidP="001D4B96">
            <w:pPr>
              <w:pStyle w:val="Textetableau"/>
              <w:rPr>
                <w:highlight w:val="yellow"/>
              </w:rPr>
            </w:pPr>
          </w:p>
        </w:tc>
      </w:tr>
    </w:tbl>
    <w:p w14:paraId="136CDF81" w14:textId="77777777" w:rsidR="00A308AC" w:rsidRPr="009C7394" w:rsidRDefault="00A308AC" w:rsidP="00A308AC">
      <w:pPr>
        <w:pStyle w:val="textetableau0"/>
      </w:pPr>
      <w:r w:rsidRPr="009C7394">
        <w:t xml:space="preserve">NB : Risque en cas d’arrêt précoce </w:t>
      </w:r>
    </w:p>
    <w:p w14:paraId="52C7142E"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Genre</w:t>
      </w:r>
    </w:p>
    <w:p w14:paraId="3A5E0B04" w14:textId="77777777" w:rsidR="00A308AC" w:rsidRPr="006D09D7" w:rsidRDefault="00A308AC" w:rsidP="00A308AC">
      <w:pPr>
        <w:pStyle w:val="textetableau0"/>
      </w:pPr>
      <w:r w:rsidRPr="006D09D7">
        <w:t xml:space="preserve">La dimension genre a été considérée selon une double approche : Classique, en transversal, et par </w:t>
      </w:r>
      <w:r w:rsidRPr="006D09D7">
        <w:lastRenderedPageBreak/>
        <w:t>l’appui aux institutions concernées</w:t>
      </w:r>
      <w:r>
        <w:t xml:space="preserve"> et d</w:t>
      </w:r>
      <w:r w:rsidRPr="006D09D7">
        <w:t>irect, par une action dans la sphère privée (Agriculture et transformation »</w:t>
      </w:r>
    </w:p>
    <w:p w14:paraId="44D97E48" w14:textId="77777777" w:rsidR="00A308AC" w:rsidRPr="006D09D7" w:rsidRDefault="00A308AC" w:rsidP="00A308AC">
      <w:pPr>
        <w:pStyle w:val="textetableau0"/>
      </w:pPr>
      <w:r w:rsidRPr="006D09D7">
        <w:t>Les structures responsables ont reçu un appui institutionnel apprécié et utile.</w:t>
      </w:r>
    </w:p>
    <w:p w14:paraId="66CE6439" w14:textId="77777777" w:rsidR="00A308AC" w:rsidRPr="006D09D7" w:rsidRDefault="00A308AC" w:rsidP="00A308AC">
      <w:pPr>
        <w:pStyle w:val="textetableau0"/>
      </w:pPr>
      <w:r w:rsidRPr="006D09D7">
        <w:t xml:space="preserve">Les effets et impacts restent à venir les actions programmées à concrétiser. </w:t>
      </w:r>
    </w:p>
    <w:p w14:paraId="16E7D745"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 xml:space="preserve">Environnement </w:t>
      </w:r>
    </w:p>
    <w:p w14:paraId="573A2F82" w14:textId="77777777" w:rsidR="00A308AC" w:rsidRDefault="00A308AC" w:rsidP="00A308AC">
      <w:pPr>
        <w:pStyle w:val="textetableau0"/>
      </w:pPr>
      <w:r>
        <w:t xml:space="preserve">S’agissant d’une évolution profonde des systèmes, le temps est un facteur déterminant pour juger les résultats obtenus. </w:t>
      </w:r>
    </w:p>
    <w:p w14:paraId="6E3D65F7" w14:textId="77777777" w:rsidR="00A308AC" w:rsidRDefault="00A308AC" w:rsidP="00A308AC">
      <w:pPr>
        <w:pStyle w:val="textetableau0"/>
      </w:pPr>
      <w:r>
        <w:t xml:space="preserve">Premiers résultats : </w:t>
      </w:r>
    </w:p>
    <w:p w14:paraId="447DA978" w14:textId="77777777" w:rsidR="00A308AC" w:rsidRPr="006D09D7" w:rsidRDefault="00A308AC" w:rsidP="00A308AC">
      <w:pPr>
        <w:pStyle w:val="resum3"/>
      </w:pPr>
      <w:r w:rsidRPr="006D09D7">
        <w:t xml:space="preserve">Les efforts déployés par le projet pour s’approprier et faire connaitre les techniques porteuses et les tester, non seulement au plan agronomique, mais également social et humain ; </w:t>
      </w:r>
    </w:p>
    <w:p w14:paraId="23DB3A6F" w14:textId="77777777" w:rsidR="00A308AC" w:rsidRPr="006D09D7" w:rsidRDefault="00A308AC" w:rsidP="00A308AC">
      <w:pPr>
        <w:pStyle w:val="resum3"/>
      </w:pPr>
      <w:r w:rsidRPr="006D09D7">
        <w:t>La bonne perception par les producteurs de ces solutions qui leur apparaissent les plus accessibles et adaptées au contexte rural de la zone.</w:t>
      </w:r>
    </w:p>
    <w:p w14:paraId="2C5D85FF" w14:textId="77777777" w:rsidR="00A308AC" w:rsidRDefault="00A308AC" w:rsidP="00A308AC">
      <w:pPr>
        <w:pStyle w:val="resum3"/>
      </w:pPr>
      <w:r w:rsidRPr="006D09D7">
        <w:t>Les premiers résultats prometteurs (mais qui ne pourront être confirmés que sur le long terme).</w:t>
      </w:r>
    </w:p>
    <w:p w14:paraId="223F6DE9" w14:textId="77777777" w:rsidR="00A308AC" w:rsidRPr="006D09D7" w:rsidRDefault="00A308AC" w:rsidP="00A308AC">
      <w:pPr>
        <w:pStyle w:val="resum3"/>
        <w:numPr>
          <w:ilvl w:val="0"/>
          <w:numId w:val="0"/>
        </w:numPr>
        <w:ind w:left="426"/>
      </w:pPr>
    </w:p>
    <w:p w14:paraId="1AEA6107" w14:textId="77777777" w:rsidR="00A308AC" w:rsidRPr="00A308AC" w:rsidRDefault="00A308AC" w:rsidP="00A308AC">
      <w:pPr>
        <w:pStyle w:val="Paragraphedeliste"/>
        <w:numPr>
          <w:ilvl w:val="0"/>
          <w:numId w:val="11"/>
        </w:numPr>
        <w:spacing w:after="160"/>
        <w:ind w:left="426" w:hanging="426"/>
        <w:jc w:val="both"/>
        <w:rPr>
          <w:rFonts w:ascii="Georgia" w:hAnsi="Georgia" w:cs="Arial"/>
          <w:b/>
          <w:color w:val="C00000"/>
          <w:sz w:val="20"/>
        </w:rPr>
      </w:pPr>
      <w:r w:rsidRPr="00A308AC">
        <w:rPr>
          <w:rFonts w:ascii="Georgia" w:hAnsi="Georgia" w:cs="Arial"/>
          <w:b/>
          <w:color w:val="C00000"/>
          <w:sz w:val="20"/>
        </w:rPr>
        <w:t>Conclusions et recommandations</w:t>
      </w:r>
    </w:p>
    <w:p w14:paraId="2C9917C5"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Evaluation globale</w:t>
      </w:r>
    </w:p>
    <w:p w14:paraId="0831AC53" w14:textId="77777777" w:rsidR="00A308AC" w:rsidRPr="006D09D7" w:rsidRDefault="00A308AC" w:rsidP="00A308AC">
      <w:pPr>
        <w:pStyle w:val="resum3"/>
        <w:ind w:left="709" w:hanging="425"/>
      </w:pPr>
      <w:r w:rsidRPr="006D09D7">
        <w:t>Le PRODAKOR peut être considéré comme un programme pertinent et ambitieux, qui, après un démarrage lent et incertain, est sur la voie de produire des résultats significatifs, mais dont les efforts risquent de ne pas être couronnés de succès par manque de temps et de budget.</w:t>
      </w:r>
    </w:p>
    <w:p w14:paraId="74AC91C3" w14:textId="77777777" w:rsidR="00A308AC" w:rsidRPr="006D09D7" w:rsidRDefault="00A308AC" w:rsidP="00A308AC">
      <w:pPr>
        <w:pStyle w:val="resum3"/>
        <w:ind w:left="709" w:hanging="425"/>
      </w:pPr>
      <w:r w:rsidRPr="006D09D7">
        <w:t xml:space="preserve">Si l’on fait abstraction de la première phase, peu porteuse de résultats, dans un court délai d’exécution effectif, le programme a pleinement joué son rôle visant à enclencher un développement agricole durable au Kasaï oriental, en innovant dans l’approche et en jetant les bases d’une dynamique adossée à une organisation à la base en voie de consolidation. </w:t>
      </w:r>
    </w:p>
    <w:p w14:paraId="1B60ED17" w14:textId="77777777" w:rsidR="00A308AC" w:rsidRDefault="00A308AC" w:rsidP="00A308AC">
      <w:pPr>
        <w:pStyle w:val="resum3"/>
        <w:ind w:left="709" w:hanging="425"/>
      </w:pPr>
      <w:r w:rsidRPr="006D09D7">
        <w:t>Le PRODAKOR peut d’ores et déjà être considéré comme un outil d’apprentissage pour es acteurs du développement en RDC </w:t>
      </w:r>
      <w:r>
        <w:t>: il</w:t>
      </w:r>
      <w:r w:rsidRPr="006D09D7">
        <w:t xml:space="preserve"> constitue, dans une certaine mesure, un « laboratoire » d’expérimentation dans les enseignements seraient utile</w:t>
      </w:r>
      <w:r>
        <w:t>s</w:t>
      </w:r>
      <w:r w:rsidRPr="006D09D7">
        <w:t xml:space="preserve"> ailleurs.</w:t>
      </w:r>
    </w:p>
    <w:p w14:paraId="70743995" w14:textId="77777777" w:rsidR="00A308AC" w:rsidRDefault="00A308AC" w:rsidP="00A308AC">
      <w:pPr>
        <w:pStyle w:val="resum3"/>
        <w:ind w:left="709" w:hanging="425"/>
      </w:pPr>
      <w:r w:rsidRPr="006D09D7">
        <w:t>Malgré ce constat positif, vu le « temps utile » restant effectif, ainsi que du fait d’importan</w:t>
      </w:r>
      <w:r>
        <w:t>t</w:t>
      </w:r>
      <w:r w:rsidRPr="006D09D7">
        <w:t>es restrictions budgétaires, il est prévisible que le programme ne pourra atteindre les résultats essentiels poursuivis, sauf à envisager une période de prolongation d’au moins un an, possible contractuellement grâce aux reliquats observés.</w:t>
      </w:r>
    </w:p>
    <w:p w14:paraId="76684820" w14:textId="77777777" w:rsidR="00A308AC" w:rsidRPr="006D09D7" w:rsidRDefault="00A308AC" w:rsidP="00A308AC">
      <w:pPr>
        <w:pStyle w:val="resum3"/>
        <w:numPr>
          <w:ilvl w:val="0"/>
          <w:numId w:val="0"/>
        </w:numPr>
        <w:ind w:left="709"/>
      </w:pPr>
    </w:p>
    <w:p w14:paraId="35D20C1B" w14:textId="77777777" w:rsidR="00A308AC" w:rsidRPr="00A308AC" w:rsidRDefault="00A308AC" w:rsidP="00A308AC">
      <w:pPr>
        <w:pStyle w:val="Titre5"/>
        <w:ind w:left="0"/>
        <w:rPr>
          <w:rFonts w:ascii="Georgia" w:hAnsi="Georgia" w:cs="Arial"/>
          <w:bCs/>
          <w:i w:val="0"/>
          <w:color w:val="auto"/>
          <w:kern w:val="0"/>
          <w:sz w:val="20"/>
          <w:lang w:val="fr-FR"/>
        </w:rPr>
      </w:pPr>
      <w:r w:rsidRPr="00A308AC">
        <w:rPr>
          <w:rFonts w:ascii="Georgia" w:hAnsi="Georgia" w:cs="Arial"/>
          <w:bCs/>
          <w:i w:val="0"/>
          <w:color w:val="auto"/>
          <w:kern w:val="0"/>
          <w:sz w:val="20"/>
          <w:lang w:val="fr-FR"/>
        </w:rPr>
        <w:t>Recommandations</w:t>
      </w:r>
    </w:p>
    <w:p w14:paraId="56272EC4" w14:textId="77777777" w:rsidR="00A308AC" w:rsidRPr="00B00763" w:rsidRDefault="00A308AC" w:rsidP="00A308AC">
      <w:pPr>
        <w:pStyle w:val="rsum"/>
        <w:pBdr>
          <w:top w:val="single" w:sz="4" w:space="1" w:color="auto"/>
          <w:left w:val="single" w:sz="4" w:space="4" w:color="auto"/>
          <w:bottom w:val="single" w:sz="4" w:space="1" w:color="auto"/>
          <w:right w:val="single" w:sz="4" w:space="4" w:color="auto"/>
        </w:pBdr>
        <w:shd w:val="clear" w:color="auto" w:fill="auto"/>
        <w:rPr>
          <w:rStyle w:val="textetableauCar0"/>
          <w:b w:val="0"/>
          <w:sz w:val="20"/>
          <w:szCs w:val="20"/>
        </w:rPr>
      </w:pPr>
      <w:r w:rsidRPr="00A308AC">
        <w:rPr>
          <w:i w:val="0"/>
          <w:color w:val="auto"/>
          <w:kern w:val="0"/>
          <w:sz w:val="20"/>
          <w:szCs w:val="20"/>
          <w:lang w:val="fr-BE"/>
        </w:rPr>
        <w:t xml:space="preserve">Recommandation </w:t>
      </w:r>
      <w:r w:rsidRPr="00A308AC">
        <w:rPr>
          <w:i w:val="0"/>
          <w:color w:val="000000"/>
          <w:kern w:val="0"/>
          <w:sz w:val="20"/>
          <w:szCs w:val="20"/>
          <w:lang w:val="fr-BE"/>
        </w:rPr>
        <w:t>centrale</w:t>
      </w:r>
      <w:r w:rsidRPr="00A308AC">
        <w:rPr>
          <w:color w:val="000000"/>
          <w:lang w:val="fr-BE"/>
        </w:rPr>
        <w:t> :</w:t>
      </w:r>
      <w:r w:rsidRPr="00A308AC">
        <w:rPr>
          <w:lang w:val="fr-BE"/>
        </w:rPr>
        <w:t xml:space="preserve"> </w:t>
      </w:r>
      <w:r w:rsidRPr="00B00763">
        <w:rPr>
          <w:rStyle w:val="textetableauCar0"/>
          <w:b w:val="0"/>
          <w:sz w:val="20"/>
          <w:szCs w:val="20"/>
        </w:rPr>
        <w:t>Prolonger la période d’exécution dans la cadre de</w:t>
      </w:r>
      <w:r>
        <w:rPr>
          <w:rStyle w:val="textetableauCar0"/>
          <w:b w:val="0"/>
          <w:sz w:val="20"/>
          <w:szCs w:val="20"/>
        </w:rPr>
        <w:t xml:space="preserve"> </w:t>
      </w:r>
      <w:r w:rsidRPr="00B00763">
        <w:rPr>
          <w:rStyle w:val="textetableauCar0"/>
          <w:b w:val="0"/>
          <w:sz w:val="20"/>
          <w:szCs w:val="20"/>
        </w:rPr>
        <w:t>la convention spécifique actuelle</w:t>
      </w:r>
    </w:p>
    <w:p w14:paraId="3839EF91" w14:textId="77777777" w:rsidR="00A308AC" w:rsidRPr="00B00763" w:rsidRDefault="00A308AC" w:rsidP="00A308AC">
      <w:pPr>
        <w:pStyle w:val="Pucetab"/>
      </w:pPr>
      <w:r w:rsidRPr="00B00763">
        <w:t xml:space="preserve">Autres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857"/>
        <w:gridCol w:w="7753"/>
      </w:tblGrid>
      <w:tr w:rsidR="00A308AC" w:rsidRPr="00A7260C" w14:paraId="5336B03C" w14:textId="77777777" w:rsidTr="00A308AC">
        <w:trPr>
          <w:cantSplit/>
          <w:tblHeader/>
          <w:tblCellSpacing w:w="20" w:type="dxa"/>
        </w:trPr>
        <w:tc>
          <w:tcPr>
            <w:tcW w:w="935" w:type="pct"/>
            <w:shd w:val="clear" w:color="auto" w:fill="EAF1DD"/>
          </w:tcPr>
          <w:p w14:paraId="21A869C4" w14:textId="77777777" w:rsidR="00A308AC" w:rsidRPr="00A7260C" w:rsidRDefault="00A308AC" w:rsidP="001D4B96">
            <w:pPr>
              <w:tabs>
                <w:tab w:val="left" w:pos="3346"/>
              </w:tabs>
              <w:rPr>
                <w:b/>
                <w:sz w:val="18"/>
                <w:szCs w:val="18"/>
              </w:rPr>
            </w:pPr>
            <w:r w:rsidRPr="00A7260C">
              <w:rPr>
                <w:b/>
                <w:sz w:val="18"/>
                <w:szCs w:val="18"/>
              </w:rPr>
              <w:t>Destinataire</w:t>
            </w:r>
          </w:p>
        </w:tc>
        <w:tc>
          <w:tcPr>
            <w:tcW w:w="4002" w:type="pct"/>
            <w:shd w:val="clear" w:color="auto" w:fill="EAF1DD"/>
          </w:tcPr>
          <w:p w14:paraId="54EE40BF" w14:textId="77777777" w:rsidR="00A308AC" w:rsidRPr="00A7260C" w:rsidRDefault="00A308AC" w:rsidP="001D4B96">
            <w:pPr>
              <w:tabs>
                <w:tab w:val="left" w:pos="3346"/>
              </w:tabs>
              <w:rPr>
                <w:b/>
                <w:sz w:val="18"/>
                <w:szCs w:val="18"/>
              </w:rPr>
            </w:pPr>
            <w:r w:rsidRPr="00A7260C">
              <w:rPr>
                <w:b/>
                <w:sz w:val="18"/>
                <w:szCs w:val="18"/>
              </w:rPr>
              <w:t xml:space="preserve">Recommandations / Actions à entreprendre </w:t>
            </w:r>
          </w:p>
        </w:tc>
      </w:tr>
      <w:tr w:rsidR="00A308AC" w:rsidRPr="00A7260C" w14:paraId="0DFC917B" w14:textId="77777777" w:rsidTr="001D4B96">
        <w:trPr>
          <w:cantSplit/>
          <w:tblHeader/>
          <w:tblCellSpacing w:w="20" w:type="dxa"/>
        </w:trPr>
        <w:tc>
          <w:tcPr>
            <w:tcW w:w="935" w:type="pct"/>
          </w:tcPr>
          <w:p w14:paraId="7413C742" w14:textId="77777777" w:rsidR="00A308AC" w:rsidRPr="00A7260C" w:rsidRDefault="00A308AC" w:rsidP="001D4B96">
            <w:pPr>
              <w:pStyle w:val="Pucetab"/>
              <w:rPr>
                <w:i/>
                <w:sz w:val="18"/>
                <w:szCs w:val="18"/>
              </w:rPr>
            </w:pPr>
            <w:r w:rsidRPr="00A7260C">
              <w:rPr>
                <w:i/>
                <w:sz w:val="18"/>
                <w:szCs w:val="18"/>
              </w:rPr>
              <w:t>Ambassade</w:t>
            </w:r>
          </w:p>
        </w:tc>
        <w:tc>
          <w:tcPr>
            <w:tcW w:w="4002" w:type="pct"/>
          </w:tcPr>
          <w:p w14:paraId="35D02A89" w14:textId="77777777" w:rsidR="00A308AC" w:rsidRPr="00A7260C" w:rsidRDefault="00A308AC" w:rsidP="00A308AC">
            <w:pPr>
              <w:pStyle w:val="Pucetableau1"/>
              <w:framePr w:vSpace="0" w:wrap="auto" w:vAnchor="margin" w:yAlign="inline"/>
              <w:numPr>
                <w:ilvl w:val="0"/>
                <w:numId w:val="8"/>
              </w:numPr>
              <w:tabs>
                <w:tab w:val="left" w:pos="3346"/>
              </w:tabs>
              <w:rPr>
                <w:sz w:val="18"/>
                <w:szCs w:val="18"/>
              </w:rPr>
            </w:pPr>
            <w:r w:rsidRPr="00A7260C">
              <w:rPr>
                <w:sz w:val="18"/>
                <w:szCs w:val="18"/>
              </w:rPr>
              <w:t xml:space="preserve">Plaidoyer pour la  prolongation des activités du programme (et la formulation d’une seconde phase) </w:t>
            </w:r>
          </w:p>
        </w:tc>
      </w:tr>
      <w:tr w:rsidR="00A308AC" w:rsidRPr="00A7260C" w14:paraId="4EDE0DC2" w14:textId="77777777" w:rsidTr="001D4B96">
        <w:trPr>
          <w:cantSplit/>
          <w:tblHeader/>
          <w:tblCellSpacing w:w="20" w:type="dxa"/>
        </w:trPr>
        <w:tc>
          <w:tcPr>
            <w:tcW w:w="935" w:type="pct"/>
          </w:tcPr>
          <w:p w14:paraId="2D65C8A4" w14:textId="77777777" w:rsidR="00A308AC" w:rsidRPr="00A7260C" w:rsidRDefault="00A308AC" w:rsidP="001D4B96">
            <w:pPr>
              <w:pStyle w:val="Pucetab"/>
              <w:rPr>
                <w:i/>
                <w:sz w:val="18"/>
                <w:szCs w:val="18"/>
              </w:rPr>
            </w:pPr>
            <w:r w:rsidRPr="00A7260C">
              <w:rPr>
                <w:i/>
                <w:sz w:val="18"/>
                <w:szCs w:val="18"/>
              </w:rPr>
              <w:t>CTB</w:t>
            </w:r>
          </w:p>
        </w:tc>
        <w:tc>
          <w:tcPr>
            <w:tcW w:w="4002" w:type="pct"/>
            <w:shd w:val="clear" w:color="auto" w:fill="auto"/>
          </w:tcPr>
          <w:p w14:paraId="34CF14D2" w14:textId="77777777" w:rsidR="00A308AC" w:rsidRPr="00A7260C" w:rsidRDefault="00A308AC" w:rsidP="00A308AC">
            <w:pPr>
              <w:pStyle w:val="Pucetableau1"/>
              <w:framePr w:vSpace="0" w:wrap="auto" w:vAnchor="margin" w:yAlign="inline"/>
              <w:numPr>
                <w:ilvl w:val="0"/>
                <w:numId w:val="8"/>
              </w:numPr>
              <w:tabs>
                <w:tab w:val="left" w:pos="3346"/>
              </w:tabs>
              <w:rPr>
                <w:sz w:val="18"/>
                <w:szCs w:val="18"/>
              </w:rPr>
            </w:pPr>
            <w:r w:rsidRPr="00A7260C">
              <w:rPr>
                <w:sz w:val="18"/>
                <w:szCs w:val="18"/>
              </w:rPr>
              <w:t xml:space="preserve">Formaliser (avec PRODAKOR) un programme transitoire sur l’hypothèse d’une prolongation. </w:t>
            </w:r>
          </w:p>
          <w:p w14:paraId="075E7C95" w14:textId="77777777" w:rsidR="00A308AC" w:rsidRPr="00A7260C" w:rsidRDefault="00A308AC" w:rsidP="00A308AC">
            <w:pPr>
              <w:pStyle w:val="Pucetableau1"/>
              <w:framePr w:vSpace="0" w:wrap="auto" w:vAnchor="margin" w:yAlign="inline"/>
              <w:numPr>
                <w:ilvl w:val="0"/>
                <w:numId w:val="8"/>
              </w:numPr>
              <w:tabs>
                <w:tab w:val="left" w:pos="3346"/>
              </w:tabs>
              <w:rPr>
                <w:sz w:val="18"/>
                <w:szCs w:val="18"/>
                <w:shd w:val="clear" w:color="auto" w:fill="FFFF00"/>
              </w:rPr>
            </w:pPr>
            <w:r w:rsidRPr="00A7260C">
              <w:rPr>
                <w:sz w:val="18"/>
                <w:szCs w:val="18"/>
              </w:rPr>
              <w:t>Préparer l’instruction d’une seconde phase.</w:t>
            </w:r>
          </w:p>
        </w:tc>
      </w:tr>
      <w:tr w:rsidR="00A308AC" w:rsidRPr="00A7260C" w14:paraId="4B5545D0" w14:textId="77777777" w:rsidTr="001D4B96">
        <w:trPr>
          <w:cantSplit/>
          <w:tblHeader/>
          <w:tblCellSpacing w:w="20" w:type="dxa"/>
        </w:trPr>
        <w:tc>
          <w:tcPr>
            <w:tcW w:w="935" w:type="pct"/>
          </w:tcPr>
          <w:p w14:paraId="37C2BD12" w14:textId="77777777" w:rsidR="00A308AC" w:rsidRPr="00A7260C" w:rsidRDefault="00A308AC" w:rsidP="001D4B96">
            <w:pPr>
              <w:pStyle w:val="Pucetab"/>
              <w:rPr>
                <w:i/>
                <w:sz w:val="18"/>
                <w:szCs w:val="18"/>
              </w:rPr>
            </w:pPr>
            <w:r w:rsidRPr="00A7260C">
              <w:rPr>
                <w:i/>
                <w:sz w:val="18"/>
                <w:szCs w:val="18"/>
              </w:rPr>
              <w:t>Représentation Résidente</w:t>
            </w:r>
          </w:p>
        </w:tc>
        <w:tc>
          <w:tcPr>
            <w:tcW w:w="4002" w:type="pct"/>
          </w:tcPr>
          <w:p w14:paraId="44DC1D1A" w14:textId="77777777" w:rsidR="00A308AC" w:rsidRPr="00A7260C" w:rsidRDefault="00A308AC" w:rsidP="001D4B96">
            <w:pPr>
              <w:pStyle w:val="Textetableau"/>
              <w:tabs>
                <w:tab w:val="left" w:pos="3346"/>
              </w:tabs>
              <w:rPr>
                <w:sz w:val="18"/>
                <w:szCs w:val="18"/>
              </w:rPr>
            </w:pPr>
            <w:r w:rsidRPr="00A7260C">
              <w:rPr>
                <w:sz w:val="18"/>
                <w:szCs w:val="18"/>
              </w:rPr>
              <w:t xml:space="preserve">Appuyer </w:t>
            </w:r>
            <w:r>
              <w:rPr>
                <w:sz w:val="18"/>
                <w:szCs w:val="18"/>
              </w:rPr>
              <w:t xml:space="preserve">la </w:t>
            </w:r>
            <w:r w:rsidRPr="00A7260C">
              <w:rPr>
                <w:sz w:val="18"/>
                <w:szCs w:val="18"/>
              </w:rPr>
              <w:t>CTB et</w:t>
            </w:r>
            <w:r>
              <w:rPr>
                <w:sz w:val="18"/>
                <w:szCs w:val="18"/>
              </w:rPr>
              <w:t xml:space="preserve"> le</w:t>
            </w:r>
            <w:r w:rsidRPr="00A7260C">
              <w:rPr>
                <w:sz w:val="18"/>
                <w:szCs w:val="18"/>
              </w:rPr>
              <w:t xml:space="preserve"> PRODAKOR dans cette démarche</w:t>
            </w:r>
          </w:p>
        </w:tc>
      </w:tr>
      <w:tr w:rsidR="00A308AC" w:rsidRPr="00A7260C" w14:paraId="02A55657" w14:textId="77777777" w:rsidTr="001D4B96">
        <w:trPr>
          <w:cantSplit/>
          <w:tblHeader/>
          <w:tblCellSpacing w:w="20" w:type="dxa"/>
        </w:trPr>
        <w:tc>
          <w:tcPr>
            <w:tcW w:w="935" w:type="pct"/>
          </w:tcPr>
          <w:p w14:paraId="21640E76" w14:textId="77777777" w:rsidR="00A308AC" w:rsidRPr="00A7260C" w:rsidRDefault="00A308AC" w:rsidP="001D4B96">
            <w:pPr>
              <w:pStyle w:val="Pucetab"/>
              <w:rPr>
                <w:i/>
                <w:sz w:val="18"/>
                <w:szCs w:val="18"/>
              </w:rPr>
            </w:pPr>
            <w:r w:rsidRPr="00A7260C">
              <w:rPr>
                <w:i/>
                <w:sz w:val="18"/>
                <w:szCs w:val="18"/>
              </w:rPr>
              <w:t>Autorités congolaises</w:t>
            </w:r>
          </w:p>
        </w:tc>
        <w:tc>
          <w:tcPr>
            <w:tcW w:w="4002" w:type="pct"/>
          </w:tcPr>
          <w:p w14:paraId="168B8CCD" w14:textId="77777777" w:rsidR="00A308AC" w:rsidRPr="00A7260C" w:rsidRDefault="00A308AC" w:rsidP="001D4B96">
            <w:pPr>
              <w:pStyle w:val="Textetableau"/>
              <w:tabs>
                <w:tab w:val="left" w:pos="3346"/>
              </w:tabs>
              <w:rPr>
                <w:sz w:val="18"/>
                <w:szCs w:val="18"/>
              </w:rPr>
            </w:pPr>
            <w:r w:rsidRPr="00A7260C">
              <w:rPr>
                <w:sz w:val="18"/>
                <w:szCs w:val="18"/>
              </w:rPr>
              <w:t xml:space="preserve">Contribuer au plaidoyer, et formaliser les engagements qui garantiront la poursuite du financement </w:t>
            </w:r>
          </w:p>
        </w:tc>
      </w:tr>
    </w:tbl>
    <w:p w14:paraId="1BEDEE1F" w14:textId="77777777" w:rsidR="00A308AC" w:rsidRDefault="00A308AC" w:rsidP="00A308AC"/>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1857"/>
        <w:gridCol w:w="7753"/>
      </w:tblGrid>
      <w:tr w:rsidR="00A308AC" w:rsidRPr="00A7260C" w14:paraId="052AD03C" w14:textId="77777777" w:rsidTr="00A308AC">
        <w:trPr>
          <w:cantSplit/>
          <w:tblHeader/>
          <w:tblCellSpacing w:w="20" w:type="dxa"/>
        </w:trPr>
        <w:tc>
          <w:tcPr>
            <w:tcW w:w="935" w:type="pct"/>
          </w:tcPr>
          <w:p w14:paraId="11D4DCAE" w14:textId="77777777" w:rsidR="00A308AC" w:rsidRPr="00A7260C" w:rsidRDefault="00A308AC" w:rsidP="001D4B96">
            <w:pPr>
              <w:pStyle w:val="Pucetab"/>
              <w:rPr>
                <w:i/>
                <w:sz w:val="18"/>
              </w:rPr>
            </w:pPr>
            <w:r w:rsidRPr="00A7260C">
              <w:rPr>
                <w:i/>
                <w:sz w:val="18"/>
              </w:rPr>
              <w:t>PRODAKOR</w:t>
            </w:r>
          </w:p>
        </w:tc>
        <w:tc>
          <w:tcPr>
            <w:tcW w:w="4002" w:type="pct"/>
            <w:shd w:val="clear" w:color="auto" w:fill="EAF1DD"/>
          </w:tcPr>
          <w:p w14:paraId="2E22B948" w14:textId="77777777" w:rsidR="00A308AC" w:rsidRPr="00A7260C" w:rsidRDefault="00A308AC" w:rsidP="001D4B96">
            <w:pPr>
              <w:pStyle w:val="Textetableau"/>
              <w:tabs>
                <w:tab w:val="left" w:pos="3346"/>
              </w:tabs>
              <w:rPr>
                <w:b/>
                <w:sz w:val="18"/>
              </w:rPr>
            </w:pPr>
            <w:r w:rsidRPr="00A7260C">
              <w:rPr>
                <w:b/>
                <w:sz w:val="18"/>
              </w:rPr>
              <w:t>Recommandations générales</w:t>
            </w:r>
          </w:p>
        </w:tc>
      </w:tr>
      <w:tr w:rsidR="00A308AC" w:rsidRPr="00A7260C" w14:paraId="35D708DC" w14:textId="77777777" w:rsidTr="001D4B96">
        <w:trPr>
          <w:cantSplit/>
          <w:tblHeader/>
          <w:tblCellSpacing w:w="20" w:type="dxa"/>
        </w:trPr>
        <w:tc>
          <w:tcPr>
            <w:tcW w:w="935" w:type="pct"/>
            <w:vMerge w:val="restart"/>
          </w:tcPr>
          <w:p w14:paraId="56832F70" w14:textId="77777777" w:rsidR="00A308AC" w:rsidRPr="00A7260C" w:rsidRDefault="00A308AC" w:rsidP="001D4B96">
            <w:pPr>
              <w:pStyle w:val="Textetableau"/>
              <w:tabs>
                <w:tab w:val="left" w:pos="3346"/>
              </w:tabs>
              <w:rPr>
                <w:sz w:val="18"/>
                <w:shd w:val="clear" w:color="auto" w:fill="FFFF00"/>
              </w:rPr>
            </w:pPr>
          </w:p>
        </w:tc>
        <w:tc>
          <w:tcPr>
            <w:tcW w:w="4002" w:type="pct"/>
          </w:tcPr>
          <w:p w14:paraId="01BFCAE3" w14:textId="77777777" w:rsidR="00A308AC" w:rsidRPr="00A7260C" w:rsidRDefault="00A308AC" w:rsidP="00A308AC">
            <w:pPr>
              <w:pStyle w:val="Pucetableau1"/>
              <w:framePr w:vSpace="0" w:wrap="auto" w:vAnchor="margin" w:yAlign="inline"/>
              <w:numPr>
                <w:ilvl w:val="0"/>
                <w:numId w:val="8"/>
              </w:numPr>
              <w:tabs>
                <w:tab w:val="left" w:pos="3346"/>
              </w:tabs>
              <w:rPr>
                <w:sz w:val="18"/>
              </w:rPr>
            </w:pPr>
            <w:r w:rsidRPr="00A7260C">
              <w:rPr>
                <w:sz w:val="18"/>
              </w:rPr>
              <w:t xml:space="preserve">Elaboration d’un programme de mise en œuvre des recommandations : atelier de réflexion au sein de l’équipe </w:t>
            </w:r>
          </w:p>
        </w:tc>
      </w:tr>
      <w:tr w:rsidR="00A308AC" w:rsidRPr="00A7260C" w14:paraId="30C30F60" w14:textId="77777777" w:rsidTr="00A308AC">
        <w:trPr>
          <w:cantSplit/>
          <w:tblHeader/>
          <w:tblCellSpacing w:w="20" w:type="dxa"/>
        </w:trPr>
        <w:tc>
          <w:tcPr>
            <w:tcW w:w="935" w:type="pct"/>
            <w:vMerge/>
          </w:tcPr>
          <w:p w14:paraId="157BA1B7" w14:textId="77777777" w:rsidR="00A308AC" w:rsidRPr="00A7260C" w:rsidRDefault="00A308AC" w:rsidP="001D4B96">
            <w:pPr>
              <w:pStyle w:val="Textetableau"/>
              <w:tabs>
                <w:tab w:val="left" w:pos="3346"/>
              </w:tabs>
              <w:rPr>
                <w:sz w:val="18"/>
                <w:shd w:val="clear" w:color="auto" w:fill="FFFF00"/>
              </w:rPr>
            </w:pPr>
          </w:p>
        </w:tc>
        <w:tc>
          <w:tcPr>
            <w:tcW w:w="4002" w:type="pct"/>
            <w:shd w:val="clear" w:color="auto" w:fill="EAF1DD"/>
          </w:tcPr>
          <w:p w14:paraId="42F7A007" w14:textId="77777777" w:rsidR="00A308AC" w:rsidRPr="00A7260C" w:rsidRDefault="00A308AC" w:rsidP="001D4B96">
            <w:pPr>
              <w:pStyle w:val="Textetableau"/>
              <w:tabs>
                <w:tab w:val="left" w:pos="3346"/>
              </w:tabs>
              <w:rPr>
                <w:b/>
                <w:sz w:val="18"/>
              </w:rPr>
            </w:pPr>
            <w:r w:rsidRPr="00A7260C">
              <w:rPr>
                <w:b/>
                <w:sz w:val="18"/>
              </w:rPr>
              <w:t>Recommandations spécifiques</w:t>
            </w:r>
          </w:p>
        </w:tc>
      </w:tr>
      <w:tr w:rsidR="00A308AC" w:rsidRPr="00A7260C" w14:paraId="1B410038" w14:textId="77777777" w:rsidTr="001D4B96">
        <w:trPr>
          <w:cantSplit/>
          <w:tblHeader/>
          <w:tblCellSpacing w:w="20" w:type="dxa"/>
        </w:trPr>
        <w:tc>
          <w:tcPr>
            <w:tcW w:w="935" w:type="pct"/>
            <w:vMerge/>
          </w:tcPr>
          <w:p w14:paraId="46319FC1" w14:textId="77777777" w:rsidR="00A308AC" w:rsidRPr="00A7260C" w:rsidRDefault="00A308AC" w:rsidP="001D4B96">
            <w:pPr>
              <w:pStyle w:val="Textetableau"/>
              <w:tabs>
                <w:tab w:val="left" w:pos="3346"/>
              </w:tabs>
              <w:rPr>
                <w:sz w:val="18"/>
                <w:shd w:val="clear" w:color="auto" w:fill="FFFF00"/>
              </w:rPr>
            </w:pPr>
          </w:p>
        </w:tc>
        <w:tc>
          <w:tcPr>
            <w:tcW w:w="4002" w:type="pct"/>
            <w:tcBorders>
              <w:bottom w:val="outset" w:sz="6" w:space="0" w:color="auto"/>
            </w:tcBorders>
            <w:shd w:val="clear" w:color="auto" w:fill="auto"/>
          </w:tcPr>
          <w:p w14:paraId="78CA8CB2" w14:textId="77777777" w:rsidR="00A308AC" w:rsidRPr="00A7260C" w:rsidRDefault="00A308AC" w:rsidP="001D4B96">
            <w:pPr>
              <w:pStyle w:val="Textetableau"/>
              <w:tabs>
                <w:tab w:val="left" w:pos="3346"/>
              </w:tabs>
              <w:rPr>
                <w:b/>
                <w:sz w:val="18"/>
              </w:rPr>
            </w:pPr>
            <w:r w:rsidRPr="00A7260C">
              <w:rPr>
                <w:b/>
                <w:sz w:val="18"/>
              </w:rPr>
              <w:t>R1 - PRODUCTION</w:t>
            </w:r>
          </w:p>
          <w:p w14:paraId="0D8483D9" w14:textId="77777777" w:rsidR="00A308AC" w:rsidRPr="00A7260C" w:rsidRDefault="00A308AC" w:rsidP="001D4B96">
            <w:pPr>
              <w:pStyle w:val="Textetableau"/>
              <w:tabs>
                <w:tab w:val="left" w:pos="3346"/>
              </w:tabs>
              <w:rPr>
                <w:sz w:val="18"/>
              </w:rPr>
            </w:pPr>
            <w:r w:rsidRPr="00A7260C">
              <w:rPr>
                <w:b/>
                <w:sz w:val="18"/>
              </w:rPr>
              <w:t xml:space="preserve">Semences : </w:t>
            </w:r>
            <w:r w:rsidRPr="00A7260C">
              <w:rPr>
                <w:sz w:val="18"/>
              </w:rPr>
              <w:t>Système d’information semences, économie de la filière, stockage amélioré</w:t>
            </w:r>
          </w:p>
          <w:p w14:paraId="2FC2E6FD" w14:textId="77777777" w:rsidR="00A308AC" w:rsidRPr="00A7260C" w:rsidRDefault="00A308AC" w:rsidP="001D4B96">
            <w:pPr>
              <w:pStyle w:val="Textetableau"/>
              <w:tabs>
                <w:tab w:val="left" w:pos="1352"/>
              </w:tabs>
              <w:rPr>
                <w:sz w:val="18"/>
              </w:rPr>
            </w:pPr>
            <w:r w:rsidRPr="00A7260C">
              <w:rPr>
                <w:b/>
                <w:sz w:val="18"/>
              </w:rPr>
              <w:t xml:space="preserve">Innovation : </w:t>
            </w:r>
            <w:r w:rsidRPr="00A7260C">
              <w:rPr>
                <w:sz w:val="18"/>
              </w:rPr>
              <w:t xml:space="preserve">Capitalisation, outillage manuel, formation technique des accompagnateurs, messages intensification,  </w:t>
            </w:r>
          </w:p>
          <w:p w14:paraId="63243281" w14:textId="77777777" w:rsidR="00A308AC" w:rsidRPr="00A7260C" w:rsidRDefault="00A308AC" w:rsidP="001D4B96">
            <w:pPr>
              <w:pStyle w:val="Textetableau"/>
              <w:tabs>
                <w:tab w:val="left" w:pos="3346"/>
              </w:tabs>
              <w:rPr>
                <w:sz w:val="18"/>
              </w:rPr>
            </w:pPr>
            <w:r w:rsidRPr="00A7260C">
              <w:rPr>
                <w:b/>
                <w:sz w:val="18"/>
              </w:rPr>
              <w:t xml:space="preserve">Mécanisation : </w:t>
            </w:r>
            <w:r w:rsidRPr="00A7260C">
              <w:rPr>
                <w:sz w:val="18"/>
              </w:rPr>
              <w:t xml:space="preserve">Messages « non travail », outillage adapté, démonstrations </w:t>
            </w:r>
          </w:p>
          <w:p w14:paraId="7EB25A59" w14:textId="77777777" w:rsidR="00A308AC" w:rsidRPr="00A7260C" w:rsidRDefault="00A308AC" w:rsidP="001D4B96">
            <w:pPr>
              <w:pStyle w:val="Textetableau"/>
              <w:tabs>
                <w:tab w:val="left" w:pos="3346"/>
              </w:tabs>
              <w:rPr>
                <w:sz w:val="18"/>
                <w:shd w:val="clear" w:color="auto" w:fill="FFFF00"/>
              </w:rPr>
            </w:pPr>
            <w:r w:rsidRPr="00A7260C">
              <w:rPr>
                <w:b/>
                <w:sz w:val="18"/>
              </w:rPr>
              <w:t xml:space="preserve">Palmier </w:t>
            </w:r>
            <w:r w:rsidRPr="00A7260C">
              <w:rPr>
                <w:sz w:val="18"/>
              </w:rPr>
              <w:t xml:space="preserve">Alternatives de proximité pour l’approvisionnement en matériel végétal de qualité </w:t>
            </w:r>
          </w:p>
        </w:tc>
      </w:tr>
      <w:tr w:rsidR="00A308AC" w:rsidRPr="00A7260C" w14:paraId="5790465F" w14:textId="77777777" w:rsidTr="001D4B96">
        <w:trPr>
          <w:cantSplit/>
          <w:tblHeader/>
          <w:tblCellSpacing w:w="20" w:type="dxa"/>
        </w:trPr>
        <w:tc>
          <w:tcPr>
            <w:tcW w:w="935" w:type="pct"/>
            <w:vMerge w:val="restart"/>
          </w:tcPr>
          <w:p w14:paraId="27B22FCC" w14:textId="77777777" w:rsidR="00A308AC" w:rsidRPr="00A7260C" w:rsidRDefault="00A308AC" w:rsidP="001D4B96">
            <w:pPr>
              <w:pStyle w:val="Textetableau"/>
              <w:tabs>
                <w:tab w:val="left" w:pos="3346"/>
              </w:tabs>
              <w:rPr>
                <w:sz w:val="18"/>
                <w:shd w:val="clear" w:color="auto" w:fill="FFFF00"/>
              </w:rPr>
            </w:pPr>
          </w:p>
        </w:tc>
        <w:tc>
          <w:tcPr>
            <w:tcW w:w="4002" w:type="pct"/>
            <w:tcBorders>
              <w:top w:val="outset" w:sz="6" w:space="0" w:color="auto"/>
              <w:bottom w:val="outset" w:sz="6" w:space="0" w:color="auto"/>
            </w:tcBorders>
          </w:tcPr>
          <w:p w14:paraId="79E07B93" w14:textId="77777777" w:rsidR="00A308AC" w:rsidRPr="00A7260C" w:rsidRDefault="00A308AC" w:rsidP="001D4B96">
            <w:pPr>
              <w:pStyle w:val="Textetableau"/>
              <w:tabs>
                <w:tab w:val="left" w:pos="3346"/>
              </w:tabs>
              <w:rPr>
                <w:b/>
                <w:sz w:val="18"/>
              </w:rPr>
            </w:pPr>
            <w:r w:rsidRPr="00A7260C">
              <w:rPr>
                <w:b/>
                <w:sz w:val="18"/>
              </w:rPr>
              <w:t>R2 – VALORISATION</w:t>
            </w:r>
          </w:p>
          <w:p w14:paraId="33F1A7C5" w14:textId="77777777" w:rsidR="00A308AC" w:rsidRPr="00A7260C" w:rsidRDefault="00A308AC" w:rsidP="001D4B96">
            <w:pPr>
              <w:pStyle w:val="Textetableau"/>
              <w:tabs>
                <w:tab w:val="left" w:pos="3346"/>
              </w:tabs>
              <w:rPr>
                <w:sz w:val="18"/>
              </w:rPr>
            </w:pPr>
            <w:r w:rsidRPr="00A7260C">
              <w:rPr>
                <w:b/>
                <w:sz w:val="18"/>
              </w:rPr>
              <w:t xml:space="preserve">Stockage : </w:t>
            </w:r>
            <w:r w:rsidRPr="00A7260C">
              <w:rPr>
                <w:sz w:val="18"/>
              </w:rPr>
              <w:t xml:space="preserve">Définition des modèles, modes de gestion </w:t>
            </w:r>
          </w:p>
          <w:p w14:paraId="58BE03A9" w14:textId="77777777" w:rsidR="00A308AC" w:rsidRPr="00A7260C" w:rsidRDefault="00A308AC" w:rsidP="001D4B96">
            <w:pPr>
              <w:pStyle w:val="Textetableau"/>
              <w:tabs>
                <w:tab w:val="left" w:pos="3346"/>
              </w:tabs>
              <w:rPr>
                <w:sz w:val="18"/>
              </w:rPr>
            </w:pPr>
            <w:r w:rsidRPr="00A7260C">
              <w:rPr>
                <w:b/>
                <w:sz w:val="18"/>
              </w:rPr>
              <w:t xml:space="preserve">Commercialisation : </w:t>
            </w:r>
            <w:r w:rsidRPr="00A7260C">
              <w:rPr>
                <w:sz w:val="18"/>
              </w:rPr>
              <w:t xml:space="preserve">Système de mise en relation/info commerciale, Revoir Buts et approche de l’étude SIM </w:t>
            </w:r>
          </w:p>
          <w:p w14:paraId="0C9F5519" w14:textId="77777777" w:rsidR="00A308AC" w:rsidRPr="00A7260C" w:rsidRDefault="00A308AC" w:rsidP="001D4B96">
            <w:pPr>
              <w:pStyle w:val="Textetableau"/>
              <w:tabs>
                <w:tab w:val="left" w:pos="3346"/>
              </w:tabs>
              <w:rPr>
                <w:b/>
                <w:sz w:val="18"/>
                <w:shd w:val="clear" w:color="auto" w:fill="FFFF00"/>
              </w:rPr>
            </w:pPr>
            <w:r w:rsidRPr="00A7260C">
              <w:rPr>
                <w:b/>
                <w:sz w:val="18"/>
              </w:rPr>
              <w:t xml:space="preserve">Transformation : </w:t>
            </w:r>
            <w:r w:rsidRPr="00A7260C">
              <w:rPr>
                <w:sz w:val="18"/>
              </w:rPr>
              <w:t xml:space="preserve">développer des modèles alternatifs sur base villageoise (Clusters) </w:t>
            </w:r>
          </w:p>
        </w:tc>
      </w:tr>
      <w:tr w:rsidR="00A308AC" w:rsidRPr="00A7260C" w14:paraId="3BD64607" w14:textId="77777777" w:rsidTr="001D4B96">
        <w:trPr>
          <w:cantSplit/>
          <w:tblHeader/>
          <w:tblCellSpacing w:w="20" w:type="dxa"/>
        </w:trPr>
        <w:tc>
          <w:tcPr>
            <w:tcW w:w="935" w:type="pct"/>
            <w:vMerge/>
          </w:tcPr>
          <w:p w14:paraId="54E87D62" w14:textId="77777777" w:rsidR="00A308AC" w:rsidRPr="00A7260C" w:rsidRDefault="00A308AC" w:rsidP="001D4B96">
            <w:pPr>
              <w:pStyle w:val="Textetableau"/>
              <w:tabs>
                <w:tab w:val="left" w:pos="3346"/>
              </w:tabs>
              <w:rPr>
                <w:sz w:val="18"/>
                <w:shd w:val="clear" w:color="auto" w:fill="FFFF00"/>
              </w:rPr>
            </w:pPr>
          </w:p>
        </w:tc>
        <w:tc>
          <w:tcPr>
            <w:tcW w:w="4002" w:type="pct"/>
            <w:tcBorders>
              <w:top w:val="outset" w:sz="6" w:space="0" w:color="auto"/>
              <w:bottom w:val="outset" w:sz="6" w:space="0" w:color="auto"/>
            </w:tcBorders>
          </w:tcPr>
          <w:p w14:paraId="761EEE64" w14:textId="77777777" w:rsidR="00A308AC" w:rsidRPr="00A7260C" w:rsidRDefault="00A308AC" w:rsidP="001D4B96">
            <w:pPr>
              <w:pStyle w:val="Textetableau"/>
              <w:tabs>
                <w:tab w:val="left" w:pos="3346"/>
              </w:tabs>
              <w:rPr>
                <w:b/>
                <w:sz w:val="18"/>
              </w:rPr>
            </w:pPr>
            <w:r w:rsidRPr="00A7260C">
              <w:rPr>
                <w:b/>
                <w:sz w:val="18"/>
              </w:rPr>
              <w:t>R3 – GOUVERNANCE ET RENFORCEMENT DES CAPACITES</w:t>
            </w:r>
          </w:p>
          <w:p w14:paraId="1BAC71B5" w14:textId="77777777" w:rsidR="00A308AC" w:rsidRPr="00A7260C" w:rsidRDefault="00A308AC" w:rsidP="001D4B96">
            <w:pPr>
              <w:pStyle w:val="Textetableau"/>
              <w:tabs>
                <w:tab w:val="left" w:pos="3346"/>
              </w:tabs>
              <w:rPr>
                <w:sz w:val="18"/>
              </w:rPr>
            </w:pPr>
            <w:r w:rsidRPr="00A7260C">
              <w:rPr>
                <w:sz w:val="18"/>
              </w:rPr>
              <w:t>Préparer la capitalisation des méthodes d’appui conseil</w:t>
            </w:r>
          </w:p>
          <w:p w14:paraId="4192FE80" w14:textId="77777777" w:rsidR="00A308AC" w:rsidRPr="00A7260C" w:rsidRDefault="00A308AC" w:rsidP="001D4B96">
            <w:pPr>
              <w:pStyle w:val="Textetableau"/>
              <w:tabs>
                <w:tab w:val="left" w:pos="3346"/>
              </w:tabs>
              <w:rPr>
                <w:sz w:val="18"/>
              </w:rPr>
            </w:pPr>
            <w:r w:rsidRPr="00A7260C">
              <w:rPr>
                <w:sz w:val="18"/>
              </w:rPr>
              <w:t>Concevoir et mettre en œuvre dispositif intégré de gestion pour OPB III</w:t>
            </w:r>
          </w:p>
          <w:p w14:paraId="3F3A54DC" w14:textId="77777777" w:rsidR="00A308AC" w:rsidRPr="00A7260C" w:rsidRDefault="00A308AC" w:rsidP="001D4B96">
            <w:pPr>
              <w:pStyle w:val="Textetableau"/>
              <w:tabs>
                <w:tab w:val="left" w:pos="3346"/>
              </w:tabs>
              <w:rPr>
                <w:b/>
                <w:sz w:val="18"/>
                <w:shd w:val="clear" w:color="auto" w:fill="FFFF00"/>
              </w:rPr>
            </w:pPr>
            <w:r w:rsidRPr="00A7260C">
              <w:rPr>
                <w:sz w:val="18"/>
              </w:rPr>
              <w:t>Renforcer Appui OPB (Niveau III)</w:t>
            </w:r>
          </w:p>
        </w:tc>
      </w:tr>
      <w:tr w:rsidR="00A308AC" w:rsidRPr="00A7260C" w14:paraId="136BAC2F" w14:textId="77777777" w:rsidTr="001D4B96">
        <w:trPr>
          <w:cantSplit/>
          <w:tblHeader/>
          <w:tblCellSpacing w:w="20" w:type="dxa"/>
        </w:trPr>
        <w:tc>
          <w:tcPr>
            <w:tcW w:w="935" w:type="pct"/>
            <w:vMerge/>
          </w:tcPr>
          <w:p w14:paraId="264946AC" w14:textId="77777777" w:rsidR="00A308AC" w:rsidRPr="00A7260C" w:rsidRDefault="00A308AC" w:rsidP="001D4B96">
            <w:pPr>
              <w:pStyle w:val="Textetableau"/>
              <w:tabs>
                <w:tab w:val="left" w:pos="3346"/>
              </w:tabs>
              <w:rPr>
                <w:sz w:val="18"/>
                <w:shd w:val="clear" w:color="auto" w:fill="FFFF00"/>
              </w:rPr>
            </w:pPr>
          </w:p>
        </w:tc>
        <w:tc>
          <w:tcPr>
            <w:tcW w:w="4002" w:type="pct"/>
            <w:tcBorders>
              <w:top w:val="outset" w:sz="6" w:space="0" w:color="auto"/>
              <w:bottom w:val="outset" w:sz="6" w:space="0" w:color="auto"/>
            </w:tcBorders>
          </w:tcPr>
          <w:p w14:paraId="6428FCF0" w14:textId="77777777" w:rsidR="00A308AC" w:rsidRPr="00A7260C" w:rsidRDefault="00A308AC" w:rsidP="001D4B96">
            <w:pPr>
              <w:pStyle w:val="Textetableau"/>
              <w:tabs>
                <w:tab w:val="left" w:pos="3346"/>
              </w:tabs>
              <w:rPr>
                <w:b/>
                <w:sz w:val="18"/>
              </w:rPr>
            </w:pPr>
            <w:r w:rsidRPr="00A7260C">
              <w:rPr>
                <w:b/>
                <w:sz w:val="18"/>
              </w:rPr>
              <w:t>R4 – GENRE</w:t>
            </w:r>
          </w:p>
          <w:p w14:paraId="137C75D5" w14:textId="77777777" w:rsidR="00A308AC" w:rsidRPr="00A7260C" w:rsidRDefault="00A308AC" w:rsidP="001D4B96">
            <w:pPr>
              <w:pStyle w:val="Textetableau"/>
              <w:tabs>
                <w:tab w:val="left" w:pos="3346"/>
              </w:tabs>
              <w:rPr>
                <w:sz w:val="18"/>
              </w:rPr>
            </w:pPr>
            <w:r w:rsidRPr="00A7260C">
              <w:rPr>
                <w:sz w:val="18"/>
              </w:rPr>
              <w:t xml:space="preserve">Fonds d’appui </w:t>
            </w:r>
          </w:p>
          <w:p w14:paraId="28C11C69" w14:textId="77777777" w:rsidR="00A308AC" w:rsidRPr="00A7260C" w:rsidRDefault="00A308AC" w:rsidP="001D4B96">
            <w:pPr>
              <w:pStyle w:val="Textetableau"/>
              <w:tabs>
                <w:tab w:val="left" w:pos="3346"/>
              </w:tabs>
              <w:rPr>
                <w:b/>
                <w:sz w:val="18"/>
                <w:shd w:val="clear" w:color="auto" w:fill="FFFF00"/>
              </w:rPr>
            </w:pPr>
            <w:r w:rsidRPr="00A7260C">
              <w:rPr>
                <w:sz w:val="18"/>
              </w:rPr>
              <w:t>Micro entreprises féminines</w:t>
            </w:r>
          </w:p>
        </w:tc>
      </w:tr>
    </w:tbl>
    <w:p w14:paraId="3979BE06" w14:textId="77777777" w:rsidR="00167997" w:rsidRPr="00A308AC" w:rsidRDefault="00167997" w:rsidP="00167997">
      <w:pPr>
        <w:rPr>
          <w:rFonts w:ascii="Georgia" w:hAnsi="Georgia"/>
          <w:b/>
        </w:rPr>
      </w:pPr>
    </w:p>
    <w:sectPr w:rsidR="00167997" w:rsidRPr="00A3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561"/>
    <w:multiLevelType w:val="multilevel"/>
    <w:tmpl w:val="6304F370"/>
    <w:lvl w:ilvl="0">
      <w:start w:val="1"/>
      <w:numFmt w:val="bullet"/>
      <w:pStyle w:val="LAP1"/>
      <w:lvlText w:val=""/>
      <w:lvlJc w:val="left"/>
      <w:pPr>
        <w:ind w:left="1146" w:hanging="720"/>
      </w:pPr>
      <w:rPr>
        <w:rFonts w:ascii="Symbol" w:hAnsi="Symbol" w:hint="default"/>
      </w:rPr>
    </w:lvl>
    <w:lvl w:ilvl="1">
      <w:start w:val="1"/>
      <w:numFmt w:val="bullet"/>
      <w:lvlText w:val=""/>
      <w:lvlJc w:val="left"/>
      <w:pPr>
        <w:ind w:left="4188"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2">
    <w:nsid w:val="281977DB"/>
    <w:multiLevelType w:val="hybridMultilevel"/>
    <w:tmpl w:val="CA64D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62ACB"/>
    <w:multiLevelType w:val="hybridMultilevel"/>
    <w:tmpl w:val="EA649082"/>
    <w:lvl w:ilvl="0" w:tplc="E7069628">
      <w:start w:val="1"/>
      <w:numFmt w:val="bullet"/>
      <w:pStyle w:val="Pucetableau2"/>
      <w:lvlText w:val=""/>
      <w:lvlJc w:val="left"/>
      <w:pPr>
        <w:ind w:left="720" w:hanging="360"/>
      </w:pPr>
      <w:rPr>
        <w:rFonts w:ascii="Wingdings" w:hAnsi="Wingdings" w:hint="default"/>
      </w:rPr>
    </w:lvl>
    <w:lvl w:ilvl="1" w:tplc="E54078E4">
      <w:start w:val="1"/>
      <w:numFmt w:val="bullet"/>
      <w:lvlText w:val="o"/>
      <w:lvlJc w:val="left"/>
      <w:pPr>
        <w:ind w:left="1440" w:hanging="360"/>
      </w:pPr>
      <w:rPr>
        <w:rFonts w:ascii="Courier New" w:hAnsi="Courier New" w:hint="default"/>
      </w:rPr>
    </w:lvl>
    <w:lvl w:ilvl="2" w:tplc="4FD06504" w:tentative="1">
      <w:start w:val="1"/>
      <w:numFmt w:val="bullet"/>
      <w:lvlText w:val=""/>
      <w:lvlJc w:val="left"/>
      <w:pPr>
        <w:ind w:left="2160" w:hanging="360"/>
      </w:pPr>
      <w:rPr>
        <w:rFonts w:ascii="Wingdings" w:hAnsi="Wingdings" w:hint="default"/>
      </w:rPr>
    </w:lvl>
    <w:lvl w:ilvl="3" w:tplc="A7C825FA" w:tentative="1">
      <w:start w:val="1"/>
      <w:numFmt w:val="bullet"/>
      <w:lvlText w:val=""/>
      <w:lvlJc w:val="left"/>
      <w:pPr>
        <w:ind w:left="2880" w:hanging="360"/>
      </w:pPr>
      <w:rPr>
        <w:rFonts w:ascii="Symbol" w:hAnsi="Symbol" w:hint="default"/>
      </w:rPr>
    </w:lvl>
    <w:lvl w:ilvl="4" w:tplc="64F0D422" w:tentative="1">
      <w:start w:val="1"/>
      <w:numFmt w:val="bullet"/>
      <w:lvlText w:val="o"/>
      <w:lvlJc w:val="left"/>
      <w:pPr>
        <w:ind w:left="3600" w:hanging="360"/>
      </w:pPr>
      <w:rPr>
        <w:rFonts w:ascii="Courier New" w:hAnsi="Courier New" w:hint="default"/>
      </w:rPr>
    </w:lvl>
    <w:lvl w:ilvl="5" w:tplc="C1D22D72" w:tentative="1">
      <w:start w:val="1"/>
      <w:numFmt w:val="bullet"/>
      <w:lvlText w:val=""/>
      <w:lvlJc w:val="left"/>
      <w:pPr>
        <w:ind w:left="4320" w:hanging="360"/>
      </w:pPr>
      <w:rPr>
        <w:rFonts w:ascii="Wingdings" w:hAnsi="Wingdings" w:hint="default"/>
      </w:rPr>
    </w:lvl>
    <w:lvl w:ilvl="6" w:tplc="F86CD442" w:tentative="1">
      <w:start w:val="1"/>
      <w:numFmt w:val="bullet"/>
      <w:lvlText w:val=""/>
      <w:lvlJc w:val="left"/>
      <w:pPr>
        <w:ind w:left="5040" w:hanging="360"/>
      </w:pPr>
      <w:rPr>
        <w:rFonts w:ascii="Symbol" w:hAnsi="Symbol" w:hint="default"/>
      </w:rPr>
    </w:lvl>
    <w:lvl w:ilvl="7" w:tplc="68527952" w:tentative="1">
      <w:start w:val="1"/>
      <w:numFmt w:val="bullet"/>
      <w:lvlText w:val="o"/>
      <w:lvlJc w:val="left"/>
      <w:pPr>
        <w:ind w:left="5760" w:hanging="360"/>
      </w:pPr>
      <w:rPr>
        <w:rFonts w:ascii="Courier New" w:hAnsi="Courier New" w:hint="default"/>
      </w:rPr>
    </w:lvl>
    <w:lvl w:ilvl="8" w:tplc="DDC8EB46" w:tentative="1">
      <w:start w:val="1"/>
      <w:numFmt w:val="bullet"/>
      <w:lvlText w:val=""/>
      <w:lvlJc w:val="left"/>
      <w:pPr>
        <w:ind w:left="6480" w:hanging="360"/>
      </w:pPr>
      <w:rPr>
        <w:rFonts w:ascii="Wingdings" w:hAnsi="Wingdings" w:hint="default"/>
      </w:rPr>
    </w:lvl>
  </w:abstractNum>
  <w:abstractNum w:abstractNumId="4">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DF1337F"/>
    <w:multiLevelType w:val="hybridMultilevel"/>
    <w:tmpl w:val="4044F7DE"/>
    <w:lvl w:ilvl="0" w:tplc="715EAE2C">
      <w:start w:val="1"/>
      <w:numFmt w:val="bullet"/>
      <w:lvlText w:val="•"/>
      <w:lvlJc w:val="left"/>
      <w:pPr>
        <w:tabs>
          <w:tab w:val="num" w:pos="720"/>
        </w:tabs>
        <w:ind w:left="720" w:hanging="360"/>
      </w:pPr>
      <w:rPr>
        <w:rFonts w:ascii="Arial" w:hAnsi="Arial" w:hint="default"/>
      </w:rPr>
    </w:lvl>
    <w:lvl w:ilvl="1" w:tplc="8A5EDA2C">
      <w:start w:val="1"/>
      <w:numFmt w:val="bullet"/>
      <w:pStyle w:val="Resum2"/>
      <w:lvlText w:val=""/>
      <w:lvlJc w:val="left"/>
      <w:pPr>
        <w:tabs>
          <w:tab w:val="num" w:pos="1440"/>
        </w:tabs>
        <w:ind w:left="1440" w:hanging="360"/>
      </w:pPr>
      <w:rPr>
        <w:rFonts w:ascii="Wingdings" w:hAnsi="Wingdings" w:hint="default"/>
      </w:rPr>
    </w:lvl>
    <w:lvl w:ilvl="2" w:tplc="EEAA8DF8" w:tentative="1">
      <w:start w:val="1"/>
      <w:numFmt w:val="bullet"/>
      <w:lvlText w:val="•"/>
      <w:lvlJc w:val="left"/>
      <w:pPr>
        <w:tabs>
          <w:tab w:val="num" w:pos="2160"/>
        </w:tabs>
        <w:ind w:left="2160" w:hanging="360"/>
      </w:pPr>
      <w:rPr>
        <w:rFonts w:ascii="Arial" w:hAnsi="Arial" w:hint="default"/>
      </w:rPr>
    </w:lvl>
    <w:lvl w:ilvl="3" w:tplc="DC0C6AD0" w:tentative="1">
      <w:start w:val="1"/>
      <w:numFmt w:val="bullet"/>
      <w:lvlText w:val="•"/>
      <w:lvlJc w:val="left"/>
      <w:pPr>
        <w:tabs>
          <w:tab w:val="num" w:pos="2880"/>
        </w:tabs>
        <w:ind w:left="2880" w:hanging="360"/>
      </w:pPr>
      <w:rPr>
        <w:rFonts w:ascii="Arial" w:hAnsi="Arial" w:hint="default"/>
      </w:rPr>
    </w:lvl>
    <w:lvl w:ilvl="4" w:tplc="07FE0B32" w:tentative="1">
      <w:start w:val="1"/>
      <w:numFmt w:val="bullet"/>
      <w:lvlText w:val="•"/>
      <w:lvlJc w:val="left"/>
      <w:pPr>
        <w:tabs>
          <w:tab w:val="num" w:pos="3600"/>
        </w:tabs>
        <w:ind w:left="3600" w:hanging="360"/>
      </w:pPr>
      <w:rPr>
        <w:rFonts w:ascii="Arial" w:hAnsi="Arial" w:hint="default"/>
      </w:rPr>
    </w:lvl>
    <w:lvl w:ilvl="5" w:tplc="FAE81BC6" w:tentative="1">
      <w:start w:val="1"/>
      <w:numFmt w:val="bullet"/>
      <w:lvlText w:val="•"/>
      <w:lvlJc w:val="left"/>
      <w:pPr>
        <w:tabs>
          <w:tab w:val="num" w:pos="4320"/>
        </w:tabs>
        <w:ind w:left="4320" w:hanging="360"/>
      </w:pPr>
      <w:rPr>
        <w:rFonts w:ascii="Arial" w:hAnsi="Arial" w:hint="default"/>
      </w:rPr>
    </w:lvl>
    <w:lvl w:ilvl="6" w:tplc="E6B68DD8" w:tentative="1">
      <w:start w:val="1"/>
      <w:numFmt w:val="bullet"/>
      <w:lvlText w:val="•"/>
      <w:lvlJc w:val="left"/>
      <w:pPr>
        <w:tabs>
          <w:tab w:val="num" w:pos="5040"/>
        </w:tabs>
        <w:ind w:left="5040" w:hanging="360"/>
      </w:pPr>
      <w:rPr>
        <w:rFonts w:ascii="Arial" w:hAnsi="Arial" w:hint="default"/>
      </w:rPr>
    </w:lvl>
    <w:lvl w:ilvl="7" w:tplc="34389A14" w:tentative="1">
      <w:start w:val="1"/>
      <w:numFmt w:val="bullet"/>
      <w:lvlText w:val="•"/>
      <w:lvlJc w:val="left"/>
      <w:pPr>
        <w:tabs>
          <w:tab w:val="num" w:pos="5760"/>
        </w:tabs>
        <w:ind w:left="5760" w:hanging="360"/>
      </w:pPr>
      <w:rPr>
        <w:rFonts w:ascii="Arial" w:hAnsi="Arial" w:hint="default"/>
      </w:rPr>
    </w:lvl>
    <w:lvl w:ilvl="8" w:tplc="585E80DC" w:tentative="1">
      <w:start w:val="1"/>
      <w:numFmt w:val="bullet"/>
      <w:lvlText w:val="•"/>
      <w:lvlJc w:val="left"/>
      <w:pPr>
        <w:tabs>
          <w:tab w:val="num" w:pos="6480"/>
        </w:tabs>
        <w:ind w:left="6480" w:hanging="360"/>
      </w:pPr>
      <w:rPr>
        <w:rFonts w:ascii="Arial" w:hAnsi="Arial" w:hint="default"/>
      </w:rPr>
    </w:lvl>
  </w:abstractNum>
  <w:abstractNum w:abstractNumId="8">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0">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4"/>
  </w:num>
  <w:num w:numId="4">
    <w:abstractNumId w:val="1"/>
  </w:num>
  <w:num w:numId="5">
    <w:abstractNumId w:val="10"/>
  </w:num>
  <w:num w:numId="6">
    <w:abstractNumId w:val="5"/>
  </w:num>
  <w:num w:numId="7">
    <w:abstractNumId w:val="6"/>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130E70"/>
    <w:rsid w:val="00167997"/>
    <w:rsid w:val="005C417F"/>
    <w:rsid w:val="008063DB"/>
    <w:rsid w:val="008B78D8"/>
    <w:rsid w:val="00A1053F"/>
    <w:rsid w:val="00A308AC"/>
    <w:rsid w:val="00D02DEE"/>
    <w:rsid w:val="00E73818"/>
    <w:rsid w:val="00EE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4">
    <w:name w:val="heading 4"/>
    <w:basedOn w:val="Normal"/>
    <w:next w:val="Normal"/>
    <w:link w:val="Titre4Car"/>
    <w:uiPriority w:val="9"/>
    <w:unhideWhenUsed/>
    <w:qFormat/>
    <w:rsid w:val="00167997"/>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customStyle="1" w:styleId="Textetableau">
    <w:name w:val="Texte tableau"/>
    <w:basedOn w:val="Normal"/>
    <w:link w:val="TextetableauCar"/>
    <w:qFormat/>
    <w:rsid w:val="00167997"/>
    <w:pPr>
      <w:widowControl w:val="0"/>
      <w:suppressAutoHyphens/>
      <w:spacing w:before="120" w:after="0" w:line="240" w:lineRule="auto"/>
      <w:jc w:val="both"/>
      <w:textAlignment w:val="baseline"/>
    </w:pPr>
    <w:rPr>
      <w:rFonts w:ascii="Arial" w:eastAsia="MS PGothic" w:hAnsi="Arial" w:cs="Arial Narrow"/>
      <w:color w:val="000000"/>
      <w:kern w:val="1"/>
      <w:sz w:val="20"/>
      <w:szCs w:val="20"/>
      <w:lang w:val="fr-FR" w:eastAsia="fr-FR"/>
    </w:rPr>
  </w:style>
  <w:style w:type="paragraph" w:customStyle="1" w:styleId="Pucetableau2">
    <w:name w:val="Puce tableau 2"/>
    <w:basedOn w:val="Normal"/>
    <w:qFormat/>
    <w:rsid w:val="00167997"/>
    <w:pPr>
      <w:numPr>
        <w:numId w:val="8"/>
      </w:numPr>
      <w:spacing w:after="60" w:line="240" w:lineRule="auto"/>
      <w:jc w:val="both"/>
    </w:pPr>
    <w:rPr>
      <w:rFonts w:ascii="Arial" w:eastAsia="MS PGothic" w:hAnsi="Arial" w:cs="Arial"/>
      <w:kern w:val="1"/>
      <w:sz w:val="20"/>
      <w:szCs w:val="20"/>
    </w:rPr>
  </w:style>
  <w:style w:type="character" w:customStyle="1" w:styleId="TextetableauCar">
    <w:name w:val="Texte tableau Car"/>
    <w:link w:val="Textetableau"/>
    <w:locked/>
    <w:rsid w:val="00167997"/>
    <w:rPr>
      <w:rFonts w:ascii="Arial" w:eastAsia="MS PGothic" w:hAnsi="Arial" w:cs="Arial Narrow"/>
      <w:color w:val="000000"/>
      <w:kern w:val="1"/>
      <w:lang w:val="fr-FR" w:eastAsia="fr-FR"/>
    </w:rPr>
  </w:style>
  <w:style w:type="paragraph" w:customStyle="1" w:styleId="textetableau0">
    <w:name w:val="texte tableau"/>
    <w:basedOn w:val="Textetableau"/>
    <w:link w:val="textetableauCar0"/>
    <w:qFormat/>
    <w:rsid w:val="00167997"/>
    <w:rPr>
      <w:i/>
    </w:rPr>
  </w:style>
  <w:style w:type="character" w:customStyle="1" w:styleId="textetableauCar0">
    <w:name w:val="texte tableau Car"/>
    <w:link w:val="textetableau0"/>
    <w:rsid w:val="00167997"/>
    <w:rPr>
      <w:rFonts w:ascii="Arial" w:eastAsia="MS PGothic" w:hAnsi="Arial" w:cs="Arial Narrow"/>
      <w:i/>
      <w:color w:val="000000"/>
      <w:kern w:val="1"/>
      <w:lang w:val="fr-FR" w:eastAsia="fr-FR"/>
    </w:rPr>
  </w:style>
  <w:style w:type="paragraph" w:customStyle="1" w:styleId="Pucetab">
    <w:name w:val="Puce tab"/>
    <w:basedOn w:val="Normal"/>
    <w:link w:val="PucetabCar"/>
    <w:qFormat/>
    <w:rsid w:val="00167997"/>
    <w:pPr>
      <w:tabs>
        <w:tab w:val="num" w:pos="720"/>
      </w:tabs>
      <w:spacing w:before="120" w:after="0" w:line="240" w:lineRule="auto"/>
      <w:ind w:left="356" w:hanging="283"/>
      <w:contextualSpacing/>
      <w:jc w:val="both"/>
    </w:pPr>
    <w:rPr>
      <w:rFonts w:ascii="Arial" w:hAnsi="Arial"/>
      <w:b/>
      <w:sz w:val="20"/>
      <w:szCs w:val="20"/>
      <w:lang w:val="fr-FR" w:eastAsia="fr-FR"/>
    </w:rPr>
  </w:style>
  <w:style w:type="character" w:customStyle="1" w:styleId="PucetabCar">
    <w:name w:val="Puce tab Car"/>
    <w:link w:val="Pucetab"/>
    <w:rsid w:val="00167997"/>
    <w:rPr>
      <w:rFonts w:ascii="Arial" w:hAnsi="Arial"/>
      <w:b/>
      <w:lang w:val="fr-FR" w:eastAsia="fr-FR"/>
    </w:rPr>
  </w:style>
  <w:style w:type="character" w:customStyle="1" w:styleId="Titre5Car">
    <w:name w:val="Titre5 Car"/>
    <w:link w:val="Titre5"/>
    <w:rsid w:val="00167997"/>
    <w:rPr>
      <w:rFonts w:ascii="Arial" w:hAnsi="Arial"/>
      <w:b/>
      <w:i/>
      <w:color w:val="00B0F0"/>
      <w:kern w:val="28"/>
      <w:sz w:val="22"/>
      <w:szCs w:val="22"/>
    </w:rPr>
  </w:style>
  <w:style w:type="paragraph" w:customStyle="1" w:styleId="LAP1">
    <w:name w:val="LAP1"/>
    <w:basedOn w:val="Paragraphedeliste"/>
    <w:qFormat/>
    <w:rsid w:val="00167997"/>
    <w:pPr>
      <w:numPr>
        <w:numId w:val="9"/>
      </w:numPr>
      <w:spacing w:before="120" w:after="0" w:line="240" w:lineRule="auto"/>
      <w:contextualSpacing w:val="0"/>
      <w:jc w:val="both"/>
    </w:pPr>
    <w:rPr>
      <w:rFonts w:ascii="Arial" w:hAnsi="Arial" w:cs="Arial"/>
      <w:kern w:val="18"/>
      <w:szCs w:val="20"/>
    </w:rPr>
  </w:style>
  <w:style w:type="paragraph" w:customStyle="1" w:styleId="Titre5">
    <w:name w:val="Titre5"/>
    <w:basedOn w:val="Titre4"/>
    <w:link w:val="Titre5Car"/>
    <w:qFormat/>
    <w:rsid w:val="00167997"/>
    <w:pPr>
      <w:tabs>
        <w:tab w:val="num" w:pos="786"/>
      </w:tabs>
      <w:autoSpaceDE w:val="0"/>
      <w:autoSpaceDN w:val="0"/>
      <w:adjustRightInd w:val="0"/>
      <w:spacing w:before="0" w:after="0" w:line="240" w:lineRule="auto"/>
      <w:ind w:left="426"/>
      <w:jc w:val="both"/>
    </w:pPr>
    <w:rPr>
      <w:rFonts w:ascii="Arial" w:eastAsia="Calibri" w:hAnsi="Arial" w:cs="Times New Roman"/>
      <w:bCs w:val="0"/>
      <w:i/>
      <w:color w:val="00B0F0"/>
      <w:kern w:val="28"/>
      <w:sz w:val="22"/>
      <w:szCs w:val="22"/>
      <w:lang w:val="en-US" w:eastAsia="en-US"/>
    </w:rPr>
  </w:style>
  <w:style w:type="paragraph" w:customStyle="1" w:styleId="rsum">
    <w:name w:val="résumé"/>
    <w:basedOn w:val="Titre5"/>
    <w:link w:val="rsumCar"/>
    <w:qFormat/>
    <w:rsid w:val="00167997"/>
    <w:pPr>
      <w:shd w:val="clear" w:color="auto" w:fill="DBE5F1"/>
      <w:spacing w:before="120"/>
      <w:ind w:left="0"/>
    </w:pPr>
    <w:rPr>
      <w:color w:val="0070C0"/>
      <w:sz w:val="24"/>
      <w:szCs w:val="24"/>
    </w:rPr>
  </w:style>
  <w:style w:type="character" w:customStyle="1" w:styleId="rsumCar">
    <w:name w:val="résumé Car"/>
    <w:link w:val="rsum"/>
    <w:rsid w:val="00167997"/>
    <w:rPr>
      <w:rFonts w:ascii="Arial" w:hAnsi="Arial"/>
      <w:b/>
      <w:i/>
      <w:color w:val="0070C0"/>
      <w:kern w:val="28"/>
      <w:sz w:val="24"/>
      <w:szCs w:val="24"/>
      <w:shd w:val="clear" w:color="auto" w:fill="DBE5F1"/>
    </w:rPr>
  </w:style>
  <w:style w:type="paragraph" w:customStyle="1" w:styleId="Resum2">
    <w:name w:val="Resumé2"/>
    <w:basedOn w:val="LAP1"/>
    <w:link w:val="Resum2Car"/>
    <w:qFormat/>
    <w:rsid w:val="00167997"/>
    <w:pPr>
      <w:numPr>
        <w:ilvl w:val="1"/>
        <w:numId w:val="10"/>
      </w:numPr>
      <w:spacing w:before="60"/>
    </w:pPr>
    <w:rPr>
      <w:i/>
      <w:sz w:val="20"/>
    </w:rPr>
  </w:style>
  <w:style w:type="paragraph" w:customStyle="1" w:styleId="resum3">
    <w:name w:val="resumé3"/>
    <w:basedOn w:val="LAP1"/>
    <w:link w:val="resum3Car"/>
    <w:qFormat/>
    <w:rsid w:val="00167997"/>
    <w:pPr>
      <w:spacing w:before="60"/>
    </w:pPr>
    <w:rPr>
      <w:i/>
      <w:sz w:val="20"/>
    </w:rPr>
  </w:style>
  <w:style w:type="character" w:customStyle="1" w:styleId="Resum2Car">
    <w:name w:val="Resumé2 Car"/>
    <w:link w:val="Resum2"/>
    <w:rsid w:val="00167997"/>
    <w:rPr>
      <w:rFonts w:ascii="Arial" w:hAnsi="Arial" w:cs="Arial"/>
      <w:i/>
      <w:kern w:val="18"/>
      <w:lang w:val="fr-FR"/>
    </w:rPr>
  </w:style>
  <w:style w:type="character" w:customStyle="1" w:styleId="resum3Car">
    <w:name w:val="resumé3 Car"/>
    <w:link w:val="resum3"/>
    <w:rsid w:val="00167997"/>
    <w:rPr>
      <w:rFonts w:ascii="Arial" w:hAnsi="Arial" w:cs="Arial"/>
      <w:i/>
      <w:kern w:val="18"/>
      <w:lang w:val="fr-FR"/>
    </w:rPr>
  </w:style>
  <w:style w:type="paragraph" w:customStyle="1" w:styleId="Pucetableau1">
    <w:name w:val="Puce tableau1"/>
    <w:basedOn w:val="Normal"/>
    <w:link w:val="Pucetableau1Car"/>
    <w:qFormat/>
    <w:rsid w:val="00167997"/>
    <w:pPr>
      <w:framePr w:vSpace="240" w:wrap="around" w:vAnchor="text" w:hAnchor="text" w:y="240"/>
      <w:spacing w:before="60" w:after="0" w:line="240" w:lineRule="auto"/>
      <w:ind w:left="720" w:hanging="360"/>
      <w:jc w:val="both"/>
    </w:pPr>
    <w:rPr>
      <w:rFonts w:ascii="Arial" w:eastAsia="MS PGothic" w:hAnsi="Arial" w:cs="Arial"/>
      <w:kern w:val="1"/>
      <w:sz w:val="20"/>
      <w:szCs w:val="20"/>
      <w:lang w:eastAsia="fr-FR"/>
    </w:rPr>
  </w:style>
  <w:style w:type="character" w:customStyle="1" w:styleId="Pucetableau1Car">
    <w:name w:val="Puce tableau1 Car"/>
    <w:link w:val="Pucetableau1"/>
    <w:rsid w:val="00167997"/>
    <w:rPr>
      <w:rFonts w:ascii="Arial" w:eastAsia="MS PGothic" w:hAnsi="Arial" w:cs="Arial"/>
      <w:kern w:val="1"/>
      <w:lang w:val="fr-BE" w:eastAsia="fr-FR"/>
    </w:rPr>
  </w:style>
  <w:style w:type="character" w:customStyle="1" w:styleId="Titre4Car">
    <w:name w:val="Titre 4 Car"/>
    <w:basedOn w:val="Policepardfaut"/>
    <w:link w:val="Titre4"/>
    <w:uiPriority w:val="9"/>
    <w:rsid w:val="00167997"/>
    <w:rPr>
      <w:rFonts w:asciiTheme="minorHAnsi" w:eastAsiaTheme="minorEastAsia" w:hAnsiTheme="minorHAnsi" w:cstheme="minorBidi"/>
      <w:b/>
      <w:bCs/>
      <w:sz w:val="28"/>
      <w:szCs w:val="28"/>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13453</Characters>
  <Application>Microsoft Office Word</Application>
  <DocSecurity>0</DocSecurity>
  <Lines>112</Lines>
  <Paragraphs>31</Paragraphs>
  <ScaleCrop>false</ScaleCrop>
  <Company>BTCCTB</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3</cp:revision>
  <dcterms:created xsi:type="dcterms:W3CDTF">2018-03-29T14:24:00Z</dcterms:created>
  <dcterms:modified xsi:type="dcterms:W3CDTF">2018-03-29T14:25:00Z</dcterms:modified>
</cp:coreProperties>
</file>