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6C316" w14:textId="77777777" w:rsidR="00635819" w:rsidRDefault="00635819">
      <w:pPr>
        <w:rPr>
          <w:lang w:val="fr-BE"/>
        </w:rPr>
      </w:pPr>
    </w:p>
    <w:p w14:paraId="3046E6CE" w14:textId="77777777" w:rsidR="000C227E" w:rsidRDefault="000C227E" w:rsidP="000C227E">
      <w:pPr>
        <w:suppressAutoHyphens/>
        <w:spacing w:after="0" w:line="240" w:lineRule="auto"/>
        <w:jc w:val="both"/>
        <w:rPr>
          <w:rFonts w:ascii="Arial" w:eastAsia="Arial Unicode MS" w:hAnsi="Arial" w:cs="Arial"/>
          <w:b/>
          <w:bCs/>
          <w:color w:val="50B848"/>
          <w:kern w:val="1"/>
          <w:sz w:val="32"/>
          <w:szCs w:val="48"/>
          <w:lang w:val="fr-FR" w:eastAsia="zh-CN"/>
        </w:rPr>
      </w:pPr>
      <w:r>
        <w:rPr>
          <w:rFonts w:ascii="Arial" w:eastAsia="Arial Unicode MS" w:hAnsi="Arial" w:cs="Arial"/>
          <w:b/>
          <w:bCs/>
          <w:color w:val="50B848"/>
          <w:kern w:val="1"/>
          <w:sz w:val="32"/>
          <w:szCs w:val="48"/>
          <w:lang w:val="fr-FR" w:eastAsia="zh-CN"/>
        </w:rPr>
        <w:t>RESUME EXECUTIF DE L’</w:t>
      </w:r>
      <w:r w:rsidRPr="000C227E">
        <w:rPr>
          <w:rFonts w:ascii="Arial" w:eastAsia="Arial Unicode MS" w:hAnsi="Arial" w:cs="Arial"/>
          <w:b/>
          <w:bCs/>
          <w:color w:val="50B848"/>
          <w:kern w:val="1"/>
          <w:sz w:val="32"/>
          <w:szCs w:val="48"/>
          <w:lang w:val="fr-FR" w:eastAsia="zh-CN"/>
        </w:rPr>
        <w:t>EVALUATION FINALE DU PROJ</w:t>
      </w:r>
      <w:r>
        <w:rPr>
          <w:rFonts w:ascii="Arial" w:eastAsia="Arial Unicode MS" w:hAnsi="Arial" w:cs="Arial"/>
          <w:b/>
          <w:bCs/>
          <w:color w:val="50B848"/>
          <w:kern w:val="1"/>
          <w:sz w:val="32"/>
          <w:szCs w:val="48"/>
          <w:lang w:val="fr-FR" w:eastAsia="zh-CN"/>
        </w:rPr>
        <w:t xml:space="preserve">ET : </w:t>
      </w:r>
    </w:p>
    <w:p w14:paraId="2B112F13" w14:textId="77777777" w:rsidR="000C227E" w:rsidRDefault="000C227E" w:rsidP="000C227E">
      <w:pPr>
        <w:suppressAutoHyphens/>
        <w:spacing w:after="0" w:line="240" w:lineRule="auto"/>
        <w:jc w:val="both"/>
        <w:rPr>
          <w:rFonts w:ascii="Arial" w:eastAsia="Arial Unicode MS" w:hAnsi="Arial" w:cs="Arial"/>
          <w:b/>
          <w:bCs/>
          <w:color w:val="50B848"/>
          <w:kern w:val="1"/>
          <w:sz w:val="32"/>
          <w:szCs w:val="48"/>
          <w:lang w:val="fr-FR" w:eastAsia="zh-CN"/>
        </w:rPr>
      </w:pPr>
    </w:p>
    <w:p w14:paraId="4D47B542" w14:textId="77777777" w:rsidR="000C227E" w:rsidRDefault="000C227E" w:rsidP="000C227E">
      <w:pPr>
        <w:suppressAutoHyphens/>
        <w:spacing w:after="0" w:line="240" w:lineRule="auto"/>
        <w:jc w:val="both"/>
        <w:rPr>
          <w:rFonts w:ascii="Arial" w:eastAsia="Arial Unicode MS" w:hAnsi="Arial" w:cs="Arial"/>
          <w:b/>
          <w:bCs/>
          <w:color w:val="50B848"/>
          <w:kern w:val="1"/>
          <w:sz w:val="32"/>
          <w:szCs w:val="48"/>
          <w:highlight w:val="white"/>
          <w:lang w:val="fr-FR" w:eastAsia="zh-CN"/>
        </w:rPr>
      </w:pPr>
      <w:r>
        <w:rPr>
          <w:rFonts w:ascii="Arial" w:eastAsia="Arial Unicode MS" w:hAnsi="Arial" w:cs="Arial"/>
          <w:b/>
          <w:bCs/>
          <w:color w:val="50B848"/>
          <w:kern w:val="1"/>
          <w:sz w:val="32"/>
          <w:szCs w:val="48"/>
          <w:lang w:val="fr-FR" w:eastAsia="zh-CN"/>
        </w:rPr>
        <w:t>« </w:t>
      </w:r>
      <w:r w:rsidRPr="000C227E">
        <w:rPr>
          <w:rFonts w:ascii="Arial" w:eastAsia="Arial Unicode MS" w:hAnsi="Arial" w:cs="Arial"/>
          <w:b/>
          <w:bCs/>
          <w:color w:val="50B848"/>
          <w:kern w:val="1"/>
          <w:sz w:val="32"/>
          <w:szCs w:val="48"/>
          <w:lang w:val="fr-FR" w:eastAsia="zh-CN"/>
        </w:rPr>
        <w:t xml:space="preserve"> CONSOLIDATION DE LA FILIERE DE TRANSFORMATION ET GESTION DES DECHETS SOLIDES DE LA VILLE DE SIKASSO-CONFIDES</w:t>
      </w:r>
      <w:r w:rsidRPr="000C227E">
        <w:rPr>
          <w:rFonts w:ascii="Arial" w:eastAsia="Arial Unicode MS" w:hAnsi="Arial" w:cs="Arial"/>
          <w:b/>
          <w:bCs/>
          <w:color w:val="50B848"/>
          <w:kern w:val="1"/>
          <w:sz w:val="32"/>
          <w:szCs w:val="48"/>
          <w:highlight w:val="white"/>
          <w:lang w:val="fr-FR" w:eastAsia="zh-CN"/>
        </w:rPr>
        <w:t xml:space="preserve"> </w:t>
      </w:r>
      <w:r>
        <w:rPr>
          <w:rFonts w:ascii="Arial" w:eastAsia="Arial Unicode MS" w:hAnsi="Arial" w:cs="Arial"/>
          <w:b/>
          <w:bCs/>
          <w:color w:val="50B848"/>
          <w:kern w:val="1"/>
          <w:sz w:val="32"/>
          <w:szCs w:val="48"/>
          <w:highlight w:val="white"/>
          <w:lang w:val="fr-FR" w:eastAsia="zh-CN"/>
        </w:rPr>
        <w:t>( </w:t>
      </w:r>
      <w:r w:rsidRPr="000C227E">
        <w:rPr>
          <w:rFonts w:ascii="Arial" w:eastAsia="Arial Unicode MS" w:hAnsi="Arial" w:cs="Arial"/>
          <w:b/>
          <w:bCs/>
          <w:color w:val="50B848"/>
          <w:kern w:val="1"/>
          <w:sz w:val="32"/>
          <w:szCs w:val="48"/>
          <w:lang w:val="fr-FR" w:eastAsia="zh-CN"/>
        </w:rPr>
        <w:t>MLI 12 041 11</w:t>
      </w:r>
      <w:r>
        <w:rPr>
          <w:rFonts w:ascii="Arial" w:eastAsia="Arial Unicode MS" w:hAnsi="Arial" w:cs="Arial"/>
          <w:b/>
          <w:bCs/>
          <w:color w:val="50B848"/>
          <w:kern w:val="1"/>
          <w:sz w:val="32"/>
          <w:szCs w:val="48"/>
          <w:lang w:val="fr-FR" w:eastAsia="zh-CN"/>
        </w:rPr>
        <w:t>)</w:t>
      </w:r>
      <w:r>
        <w:rPr>
          <w:rFonts w:ascii="Arial" w:eastAsia="Arial Unicode MS" w:hAnsi="Arial" w:cs="Arial"/>
          <w:b/>
          <w:bCs/>
          <w:color w:val="50B848"/>
          <w:kern w:val="1"/>
          <w:sz w:val="32"/>
          <w:szCs w:val="48"/>
          <w:highlight w:val="white"/>
          <w:lang w:val="fr-FR" w:eastAsia="zh-CN"/>
        </w:rPr>
        <w:t>»</w:t>
      </w:r>
      <w:bookmarkStart w:id="0" w:name="_GoBack"/>
      <w:bookmarkEnd w:id="0"/>
    </w:p>
    <w:p w14:paraId="53017825" w14:textId="77777777" w:rsidR="000C227E" w:rsidRDefault="000C227E" w:rsidP="000C227E">
      <w:pPr>
        <w:suppressAutoHyphens/>
        <w:spacing w:after="0" w:line="240" w:lineRule="auto"/>
        <w:jc w:val="both"/>
        <w:rPr>
          <w:rFonts w:ascii="Arial" w:eastAsia="Arial Unicode MS" w:hAnsi="Arial" w:cs="Arial"/>
          <w:b/>
          <w:bCs/>
          <w:color w:val="50B848"/>
          <w:kern w:val="1"/>
          <w:sz w:val="32"/>
          <w:szCs w:val="48"/>
          <w:highlight w:val="white"/>
          <w:lang w:val="fr-FR" w:eastAsia="zh-CN"/>
        </w:rPr>
      </w:pPr>
    </w:p>
    <w:p w14:paraId="7A6B151B" w14:textId="77777777" w:rsidR="000C227E" w:rsidRDefault="000C227E" w:rsidP="000C227E">
      <w:pPr>
        <w:suppressAutoHyphens/>
        <w:spacing w:after="0" w:line="240" w:lineRule="auto"/>
        <w:jc w:val="both"/>
        <w:rPr>
          <w:rFonts w:ascii="Arial" w:eastAsia="Arial Unicode MS" w:hAnsi="Arial" w:cs="Arial"/>
          <w:b/>
          <w:bCs/>
          <w:color w:val="50B848"/>
          <w:kern w:val="1"/>
          <w:sz w:val="32"/>
          <w:szCs w:val="48"/>
          <w:highlight w:val="white"/>
          <w:lang w:val="fr-FR" w:eastAsia="zh-CN"/>
        </w:rPr>
      </w:pPr>
    </w:p>
    <w:p w14:paraId="79159BB3"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color w:val="222222"/>
          <w:szCs w:val="24"/>
          <w:highlight w:val="white"/>
          <w:lang w:val="fr-FR" w:eastAsia="zh-CN"/>
        </w:rPr>
        <w:t>La présente évaluation s’inscrit dans le cadre global de redevabilité de la Coopération Technique Belge qui exige que les interventions qu’elle met en œuvre soient évaluées systématiquement pendant deux temps forts que sont : la mi-parcours et la fin de la phase de mise en œuvre. Ce faisant, elle est une réponse aux engagements envers le partenaire et l’Etat Belge.  Mais une évaluation finale, comme celle-ci, est aussi une occasion d’apprentissage.  Perçue comme telle, cet exercice devrait permettre d’identifier et d’analyser les leçons apprises de cette intervention.  Ces leçons permettront d’améliorer les interventions futures de la CTB et ses partenaires, et, au cas échéant susciter l’élaboration des nouvelles stratégies, politiques ou interventions.  Les recommandations de l’évaluation finale fournissent également des pistes pour améliorer le pilotage post-projet, notamment dans le cadre de la durabilité des acquis.</w:t>
      </w:r>
    </w:p>
    <w:p w14:paraId="4D031BA3" w14:textId="77777777" w:rsidR="000C227E" w:rsidRPr="000C227E" w:rsidRDefault="000C227E" w:rsidP="000C227E">
      <w:pPr>
        <w:suppressAutoHyphens/>
        <w:spacing w:after="0" w:line="240" w:lineRule="auto"/>
        <w:jc w:val="both"/>
        <w:rPr>
          <w:rFonts w:ascii="Arial" w:eastAsia="Times New Roman" w:hAnsi="Arial" w:cs="Arial"/>
          <w:color w:val="222222"/>
          <w:szCs w:val="24"/>
          <w:highlight w:val="white"/>
          <w:lang w:val="fr-FR" w:eastAsia="zh-CN"/>
        </w:rPr>
      </w:pPr>
    </w:p>
    <w:p w14:paraId="0B480E91"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color w:val="222222"/>
          <w:szCs w:val="24"/>
          <w:highlight w:val="white"/>
          <w:lang w:val="fr-FR" w:eastAsia="zh-CN"/>
        </w:rPr>
        <w:t>Le contexte de cette revue est marqué par le retrait de la CTB de la région de Sikasso suite à une réorientation à la fois géographique et thématique de ses interventions, la poursuite des engagements de l’Etat à poursuivre et approfondir les réformes nées de la décentralisation, en l’occurrence le processus de transfert des ressources aux collectivités territoriales et une situation sécuritaire nationale encore fragile.  Au niveau sectoriel, l’évaluation en cours et l’élaboration du nouveau programme sectoriel eau et assainissement (PROSEA 2) pour l’aligner sur les objectifs de développement durable (ODD) et la relecture prochaine de la politique nationale de l’assainissement (PNA) sont autant de facteurs contextuels.</w:t>
      </w:r>
    </w:p>
    <w:p w14:paraId="666375B0" w14:textId="77777777" w:rsidR="000C227E" w:rsidRPr="000C227E" w:rsidRDefault="000C227E" w:rsidP="000C227E">
      <w:pPr>
        <w:suppressAutoHyphens/>
        <w:spacing w:after="0" w:line="240" w:lineRule="auto"/>
        <w:jc w:val="both"/>
        <w:rPr>
          <w:rFonts w:ascii="Arial" w:eastAsia="Times New Roman" w:hAnsi="Arial" w:cs="Arial"/>
          <w:color w:val="222222"/>
          <w:szCs w:val="24"/>
          <w:highlight w:val="white"/>
          <w:lang w:val="fr-FR" w:eastAsia="zh-CN"/>
        </w:rPr>
      </w:pPr>
    </w:p>
    <w:p w14:paraId="10A6D6CE"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color w:val="222222"/>
          <w:szCs w:val="24"/>
          <w:highlight w:val="white"/>
          <w:lang w:val="fr-FR" w:eastAsia="zh-CN"/>
        </w:rPr>
        <w:t xml:space="preserve">Pour assurer le triple objectif de redevabilité, d’amélioration du pilotage et d’apprentissage, la mission d’évaluation a pris en compte un périmètre qui comprend à la fois l’évaluation de la « performance », l’appréciation des questions transversales et la prise en compte des aspects horizontaux.  L’évaluation générique de la performance a utilisé la grille de l’OCDE. Les questions transversales et les aspects horizontaux ont été définis par les termes de référence.  Au plan méthodologique, l’équipe d’évaluateurs a mobilisé une approche participative comprenant, notamment : une revue documentaire, des visites / observations des installations / infrastructures mises en place par le CONFIDES et des entretiens avec les différents acteurs.  Les entretiens semi-structuré avec les acteurs comprenaient à la fois des focus groupe (discussion thématique avec les Associations féminines, les </w:t>
      </w:r>
      <w:proofErr w:type="spellStart"/>
      <w:r w:rsidRPr="000C227E">
        <w:rPr>
          <w:rFonts w:ascii="Arial" w:eastAsia="Times New Roman" w:hAnsi="Arial" w:cs="Arial"/>
          <w:color w:val="222222"/>
          <w:szCs w:val="24"/>
          <w:highlight w:val="white"/>
          <w:lang w:val="fr-FR" w:eastAsia="zh-CN"/>
        </w:rPr>
        <w:t>terreautiers</w:t>
      </w:r>
      <w:proofErr w:type="spellEnd"/>
      <w:r w:rsidRPr="000C227E">
        <w:rPr>
          <w:rFonts w:ascii="Arial" w:eastAsia="Times New Roman" w:hAnsi="Arial" w:cs="Arial"/>
          <w:color w:val="222222"/>
          <w:szCs w:val="24"/>
          <w:highlight w:val="white"/>
          <w:lang w:val="fr-FR" w:eastAsia="zh-CN"/>
        </w:rPr>
        <w:t xml:space="preserve">, les chefs de quartiers, les GIE, les élus et les techniciens des collectivités territoriales) mais aussi des entretiens individuels approfondis (notamment les membres de l’équipe du projet et des services techniques).  Cette diversité dans la démarche a favorisé la triangulation des données, l’approfondissement des analyses des résultats/ effets et l’exhaustivité des questions / thèmes d’évaluation. Les résultats préliminaires ont fait l’objet de restitution et discussion au CTOS à Sikasso et à la représentation de la CTB à Bamako. </w:t>
      </w:r>
    </w:p>
    <w:p w14:paraId="6B8B4598" w14:textId="77777777" w:rsidR="000C227E" w:rsidRPr="000C227E" w:rsidRDefault="000C227E" w:rsidP="000C227E">
      <w:pPr>
        <w:suppressAutoHyphens/>
        <w:spacing w:after="0" w:line="240" w:lineRule="auto"/>
        <w:jc w:val="both"/>
        <w:rPr>
          <w:rFonts w:ascii="Arial" w:eastAsia="Times New Roman" w:hAnsi="Arial" w:cs="Arial"/>
          <w:color w:val="222222"/>
          <w:szCs w:val="24"/>
          <w:highlight w:val="white"/>
          <w:lang w:val="fr-FR" w:eastAsia="zh-CN"/>
        </w:rPr>
      </w:pPr>
    </w:p>
    <w:p w14:paraId="58F9D13A"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color w:val="222222"/>
          <w:szCs w:val="24"/>
          <w:highlight w:val="white"/>
          <w:lang w:val="fr-FR" w:eastAsia="zh-CN"/>
        </w:rPr>
        <w:t xml:space="preserve">Le CONFIDES est un projet ambitieux et novateur mis en œuvre dans un environnement local avec ses spécificités en matière de démographie, d'organisation sociopolitique et de </w:t>
      </w:r>
      <w:r w:rsidRPr="000C227E">
        <w:rPr>
          <w:rFonts w:ascii="Arial" w:eastAsia="Times New Roman" w:hAnsi="Arial" w:cs="Arial"/>
          <w:color w:val="222222"/>
          <w:szCs w:val="24"/>
          <w:highlight w:val="white"/>
          <w:lang w:val="fr-FR" w:eastAsia="zh-CN"/>
        </w:rPr>
        <w:lastRenderedPageBreak/>
        <w:t xml:space="preserve">potentialités économiques.  </w:t>
      </w:r>
      <w:r w:rsidRPr="000C227E">
        <w:rPr>
          <w:rFonts w:ascii="Arial" w:eastAsia="Times New Roman" w:hAnsi="Arial" w:cs="Arial"/>
          <w:color w:val="222222"/>
          <w:szCs w:val="24"/>
          <w:highlight w:val="white"/>
          <w:u w:val="single"/>
          <w:lang w:val="fr-FR" w:eastAsia="zh-CN"/>
        </w:rPr>
        <w:t>A travers, une approche multi-acteurs, il a su enclencher une dynamique de gestion intégrée et durable des déchets (GIDD) à travers une réponse locale qui a su rester pertinente, a pu démontrer une efficacité d’intervention et une efficience améliorée, et pu produire des impacts incontestables mais avec des garanties de durabilité encore fragiles</w:t>
      </w:r>
      <w:r w:rsidRPr="000C227E">
        <w:rPr>
          <w:rFonts w:ascii="Arial" w:eastAsia="Times New Roman" w:hAnsi="Arial" w:cs="Arial"/>
          <w:color w:val="222222"/>
          <w:szCs w:val="24"/>
          <w:highlight w:val="white"/>
          <w:lang w:val="fr-FR" w:eastAsia="zh-CN"/>
        </w:rPr>
        <w:t xml:space="preserve">.  </w:t>
      </w:r>
    </w:p>
    <w:p w14:paraId="02DC8567" w14:textId="77777777" w:rsidR="000C227E" w:rsidRPr="000C227E" w:rsidRDefault="000C227E" w:rsidP="000C227E">
      <w:pPr>
        <w:suppressAutoHyphens/>
        <w:spacing w:after="0" w:line="240" w:lineRule="auto"/>
        <w:jc w:val="both"/>
        <w:rPr>
          <w:rFonts w:ascii="Arial" w:eastAsia="Times New Roman" w:hAnsi="Arial" w:cs="Arial"/>
          <w:color w:val="222222"/>
          <w:szCs w:val="24"/>
          <w:highlight w:val="white"/>
          <w:lang w:val="fr-FR" w:eastAsia="zh-CN"/>
        </w:rPr>
      </w:pPr>
    </w:p>
    <w:p w14:paraId="60F66009"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color w:val="222222"/>
          <w:szCs w:val="24"/>
          <w:highlight w:val="white"/>
          <w:lang w:val="fr-FR" w:eastAsia="zh-CN"/>
        </w:rPr>
        <w:t xml:space="preserve">Sur le plan de la </w:t>
      </w:r>
      <w:r w:rsidRPr="000C227E">
        <w:rPr>
          <w:rFonts w:ascii="Arial" w:eastAsia="Times New Roman" w:hAnsi="Arial" w:cs="Arial"/>
          <w:b/>
          <w:color w:val="222222"/>
          <w:szCs w:val="24"/>
          <w:highlight w:val="white"/>
          <w:lang w:val="fr-FR" w:eastAsia="zh-CN"/>
        </w:rPr>
        <w:t>pertinence</w:t>
      </w:r>
      <w:r w:rsidRPr="000C227E">
        <w:rPr>
          <w:rFonts w:ascii="Arial" w:eastAsia="Times New Roman" w:hAnsi="Arial" w:cs="Arial"/>
          <w:color w:val="222222"/>
          <w:szCs w:val="24"/>
          <w:highlight w:val="white"/>
          <w:lang w:val="fr-FR" w:eastAsia="zh-CN"/>
        </w:rPr>
        <w:t>, le CONFIDES a apporté une réponse adéquate aux besoins et priorités des bénéficiaires. Le cadre des interventions est en ligne avec les principales politiques, lois et stratégies qui définissent les orientations en matière de déchets solides</w:t>
      </w:r>
      <w:r w:rsidRPr="000C227E">
        <w:rPr>
          <w:rFonts w:ascii="Arial" w:eastAsia="Times New Roman" w:hAnsi="Arial" w:cs="Arial"/>
          <w:color w:val="222222"/>
          <w:szCs w:val="24"/>
          <w:highlight w:val="white"/>
          <w:vertAlign w:val="superscript"/>
          <w:lang w:val="fr-FR" w:eastAsia="zh-CN"/>
        </w:rPr>
        <w:footnoteReference w:id="1"/>
      </w:r>
      <w:r w:rsidRPr="000C227E">
        <w:rPr>
          <w:rFonts w:ascii="Arial" w:eastAsia="Times New Roman" w:hAnsi="Arial" w:cs="Arial"/>
          <w:color w:val="222222"/>
          <w:szCs w:val="24"/>
          <w:highlight w:val="white"/>
          <w:lang w:val="fr-FR" w:eastAsia="zh-CN"/>
        </w:rPr>
        <w:t>. Le projet a également</w:t>
      </w:r>
      <w:r w:rsidRPr="000C227E">
        <w:rPr>
          <w:rFonts w:ascii="Liberation Sans" w:eastAsia="Times New Roman" w:hAnsi="Liberation Sans"/>
          <w:color w:val="222222"/>
          <w:szCs w:val="24"/>
          <w:highlight w:val="white"/>
          <w:lang w:val="fr-FR" w:eastAsia="zh-CN"/>
        </w:rPr>
        <w:t xml:space="preserve"> </w:t>
      </w:r>
      <w:r w:rsidRPr="000C227E">
        <w:rPr>
          <w:rFonts w:ascii="Arial" w:eastAsia="Times New Roman" w:hAnsi="Arial" w:cs="Arial"/>
          <w:color w:val="222222"/>
          <w:szCs w:val="24"/>
          <w:highlight w:val="white"/>
          <w:lang w:val="fr-FR" w:eastAsia="zh-CN"/>
        </w:rPr>
        <w:t>démontré un ancrage institutionnel fort mobilisant l’Etat déconcentré à travers la DRACPN (dans le rôle de régulateur), la mairie (dans son rôle de maitrise d’ouvrage définissant les orientations locales), la société civile (chefs de quartiers, centres de développement des quartiers et associations dans leur rôle de promotion) et aussi du secteur privé (dans un rôle de maitrise</w:t>
      </w:r>
      <w:r w:rsidRPr="000C227E">
        <w:rPr>
          <w:rFonts w:ascii="Liberation Sans" w:eastAsia="Times New Roman" w:hAnsi="Liberation Sans"/>
          <w:color w:val="222222"/>
          <w:szCs w:val="24"/>
          <w:highlight w:val="white"/>
          <w:lang w:val="fr-FR" w:eastAsia="zh-CN"/>
        </w:rPr>
        <w:t xml:space="preserve"> </w:t>
      </w:r>
      <w:r w:rsidRPr="000C227E">
        <w:rPr>
          <w:rFonts w:ascii="Arial" w:eastAsia="Times New Roman" w:hAnsi="Arial" w:cs="Arial"/>
          <w:color w:val="222222"/>
          <w:szCs w:val="24"/>
          <w:highlight w:val="white"/>
          <w:lang w:val="fr-FR" w:eastAsia="zh-CN"/>
        </w:rPr>
        <w:t xml:space="preserve">d’ouvrage déléguée ou d’investissement stratégique).  L’ancrage social du CONFIDES a permis d’améliorer la demande des ménages au niveau de la pré-collecte.  Il était également en parfaite ligne avec les priorités de la coopération belge.  </w:t>
      </w:r>
    </w:p>
    <w:p w14:paraId="66CF2C23" w14:textId="77777777" w:rsidR="000C227E" w:rsidRPr="000C227E" w:rsidRDefault="000C227E" w:rsidP="000C227E">
      <w:pPr>
        <w:suppressAutoHyphens/>
        <w:spacing w:after="0" w:line="240" w:lineRule="auto"/>
        <w:jc w:val="both"/>
        <w:rPr>
          <w:rFonts w:ascii="Arial" w:eastAsia="Times New Roman" w:hAnsi="Arial" w:cs="Arial"/>
          <w:color w:val="222222"/>
          <w:szCs w:val="24"/>
          <w:highlight w:val="white"/>
          <w:lang w:val="fr-FR" w:eastAsia="zh-CN"/>
        </w:rPr>
      </w:pPr>
    </w:p>
    <w:p w14:paraId="34DD16A7"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color w:val="222222"/>
          <w:szCs w:val="24"/>
          <w:highlight w:val="white"/>
          <w:lang w:val="fr-FR" w:eastAsia="zh-CN"/>
        </w:rPr>
        <w:t>Le CONFIDES a mis en place une approche fondée sur la responsabilisation des acteurs et l’apprentissage qui a permis d’en assurer l’</w:t>
      </w:r>
      <w:r w:rsidRPr="000C227E">
        <w:rPr>
          <w:rFonts w:ascii="Arial" w:eastAsia="Times New Roman" w:hAnsi="Arial" w:cs="Arial"/>
          <w:b/>
          <w:color w:val="222222"/>
          <w:szCs w:val="24"/>
          <w:highlight w:val="white"/>
          <w:lang w:val="fr-FR" w:eastAsia="zh-CN"/>
        </w:rPr>
        <w:t>efficacité</w:t>
      </w:r>
      <w:r w:rsidRPr="000C227E">
        <w:rPr>
          <w:rFonts w:ascii="Arial" w:eastAsia="Times New Roman" w:hAnsi="Arial" w:cs="Arial"/>
          <w:color w:val="222222"/>
          <w:szCs w:val="24"/>
          <w:highlight w:val="white"/>
          <w:lang w:val="fr-FR" w:eastAsia="zh-CN"/>
        </w:rPr>
        <w:t xml:space="preserve">. Il a permis, d’une part, d’améliorer l’offre de services des GIE dans le domaine de la pré-collecte, et d’autre part, de susciter une demande plus grande et mieux structurée au niveau des ménages.  Dans le cas de l’offre il s’est agi de mettre en place un appui ciblé aux GIE (équipements, subsides, renforcement des capacités) alors que pour ce qui est de la demande, il s’est agi de renforcer la communication pour le changement de comportement.  La gestion des fractions valorisables et des déchets ménagers a mobilisé une approche intégrée, créant des relations d’affaires solides et mutuellement rentables entre les chiffonnières et les unités de valorisation des papiers / cartons d’une part, et entre les </w:t>
      </w:r>
      <w:proofErr w:type="spellStart"/>
      <w:r w:rsidRPr="000C227E">
        <w:rPr>
          <w:rFonts w:ascii="Arial" w:eastAsia="Times New Roman" w:hAnsi="Arial" w:cs="Arial"/>
          <w:color w:val="222222"/>
          <w:szCs w:val="24"/>
          <w:highlight w:val="white"/>
          <w:lang w:val="fr-FR" w:eastAsia="zh-CN"/>
        </w:rPr>
        <w:t>terreautiers</w:t>
      </w:r>
      <w:proofErr w:type="spellEnd"/>
      <w:r w:rsidRPr="000C227E">
        <w:rPr>
          <w:rFonts w:ascii="Arial" w:eastAsia="Times New Roman" w:hAnsi="Arial" w:cs="Arial"/>
          <w:color w:val="222222"/>
          <w:szCs w:val="24"/>
          <w:highlight w:val="white"/>
          <w:lang w:val="fr-FR" w:eastAsia="zh-CN"/>
        </w:rPr>
        <w:t xml:space="preserve"> et les producteurs agricoles (y compris maraîchers et horticulteurs) d’autre part.  Néanmoins, le projet n’a pas pu réaliser le nombre de centre de valorisation de quartiers initialement prévu</w:t>
      </w:r>
      <w:r w:rsidRPr="000C227E">
        <w:rPr>
          <w:rFonts w:ascii="Arial" w:eastAsia="Times New Roman" w:hAnsi="Arial" w:cs="Arial"/>
          <w:color w:val="222222"/>
          <w:szCs w:val="24"/>
          <w:highlight w:val="white"/>
          <w:vertAlign w:val="superscript"/>
          <w:lang w:val="fr-FR" w:eastAsia="zh-CN"/>
        </w:rPr>
        <w:footnoteReference w:id="2"/>
      </w:r>
      <w:r w:rsidRPr="000C227E">
        <w:rPr>
          <w:rFonts w:ascii="Arial" w:eastAsia="Times New Roman" w:hAnsi="Arial" w:cs="Arial"/>
          <w:color w:val="222222"/>
          <w:szCs w:val="24"/>
          <w:highlight w:val="white"/>
          <w:lang w:val="fr-FR" w:eastAsia="zh-CN"/>
        </w:rPr>
        <w:t xml:space="preserve">. En outre, le CONFIDES a su mettre en place des mécanismes pour renforcer la maitrise / la gestion des rôles et responsabilités de façon concertée et coordonnée, notamment les rencontres bimensuelles, les réunions trimestrielles du CTOS et les SMCL. Cependant, la mission a relevé que le système de communication entre les acteurs n’était pas suffisamment performant pour assurer une cohérence des discours.  </w:t>
      </w:r>
    </w:p>
    <w:p w14:paraId="20BAD9A4" w14:textId="77777777" w:rsidR="000C227E" w:rsidRPr="000C227E" w:rsidRDefault="000C227E" w:rsidP="000C227E">
      <w:pPr>
        <w:suppressAutoHyphens/>
        <w:spacing w:after="0" w:line="240" w:lineRule="auto"/>
        <w:jc w:val="both"/>
        <w:rPr>
          <w:rFonts w:ascii="Arial" w:eastAsia="Times New Roman" w:hAnsi="Arial" w:cs="Arial"/>
          <w:color w:val="222222"/>
          <w:szCs w:val="24"/>
          <w:highlight w:val="white"/>
          <w:lang w:val="fr-FR" w:eastAsia="zh-CN"/>
        </w:rPr>
      </w:pPr>
    </w:p>
    <w:p w14:paraId="3B3C1B4E"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b/>
          <w:color w:val="222222"/>
          <w:szCs w:val="24"/>
          <w:highlight w:val="white"/>
          <w:lang w:val="fr-FR" w:eastAsia="zh-CN"/>
        </w:rPr>
        <w:t>L’efficience</w:t>
      </w:r>
      <w:r w:rsidRPr="000C227E">
        <w:rPr>
          <w:rFonts w:ascii="Arial" w:eastAsia="Times New Roman" w:hAnsi="Arial" w:cs="Arial"/>
          <w:color w:val="222222"/>
          <w:szCs w:val="24"/>
          <w:highlight w:val="white"/>
          <w:lang w:val="fr-FR" w:eastAsia="zh-CN"/>
        </w:rPr>
        <w:t xml:space="preserve"> du CONFIDES est perceptible à différents niveaux de l’analyse.  Elle l’est d’abord dans la gestion de l’ensemble des moyens du projet (ressources humaines, matérielles et financière).  L’intégration d’une partie du personnel dans l’organigramme de la mairie à travers la division municipale de gestion des déchets solides, la forte mobilisation de l’expertise renforcée des services de la DRACPN (et la SACPN) et une gestion </w:t>
      </w:r>
      <w:r w:rsidRPr="000C227E">
        <w:rPr>
          <w:rFonts w:ascii="Arial" w:eastAsia="Times New Roman" w:hAnsi="Arial" w:cs="Arial"/>
          <w:color w:val="222222"/>
          <w:szCs w:val="24"/>
          <w:highlight w:val="white"/>
          <w:lang w:val="fr-FR" w:eastAsia="zh-CN"/>
        </w:rPr>
        <w:lastRenderedPageBreak/>
        <w:t>matricielle performante ont été importantes pour assurer l’efficience.  La gestion des ressources matérielles du projet a respecté les bonnes pratiques en la matière incluant, notamment, l’adéquation entre les équipements et les usages dans un contexte spécifique qui tienne compte de l’ensemble des facteurs humains et environnementaux, le suivi des immobilisations à travers les outils classiques de la comptabilité matière dont l’inventaire, la mise en place d’un mécanisme de gestion et de maintenance (fiches techniques, manuel opérationnel, formation des principaux usagers).  Pour ce qui est de la gestion administrative et financière, le mode régie s’est révélé très efficient.  Néanmoins, quelques erreurs dans la conception des options techniques ont occasionné des pertes.  C’est le cas, notamment, des centres de valorisation des quartiers (centres de valorisation de quartier) où le fait de reprendre les rampes d’accès a augmenté les coûts initiaux budgétisés pour ces infrastructures.  Par ailleurs, si le zonage et la définition des circuits de la collecte primaire ont amélioré l’efficience de cette étape, l’opération de transvaser de la charrette au caisson reste pénible, couteuse en temps et ne permet pas d’assainir les alentours immédiats du caisson. L’efficience est ensuite prouvée avec le niveau de réalisation des produits du projet.  Hormis la non-réalisation du nombre de centres de valorisation de quartier prévu, l’utilisation ultérieure peu probable du compacteur et la suspension</w:t>
      </w:r>
      <w:r w:rsidRPr="000C227E">
        <w:rPr>
          <w:rFonts w:ascii="Arial" w:eastAsia="Times New Roman" w:hAnsi="Arial" w:cs="Arial"/>
          <w:color w:val="222222"/>
          <w:szCs w:val="24"/>
          <w:highlight w:val="white"/>
          <w:vertAlign w:val="superscript"/>
          <w:lang w:val="fr-FR" w:eastAsia="zh-CN"/>
        </w:rPr>
        <w:footnoteReference w:id="3"/>
      </w:r>
      <w:r w:rsidRPr="000C227E">
        <w:rPr>
          <w:rFonts w:ascii="Arial" w:eastAsia="Times New Roman" w:hAnsi="Arial" w:cs="Arial"/>
          <w:color w:val="222222"/>
          <w:szCs w:val="24"/>
          <w:highlight w:val="white"/>
          <w:lang w:val="fr-FR" w:eastAsia="zh-CN"/>
        </w:rPr>
        <w:t xml:space="preserve"> du processus d’actualisation du plan stratégique d’assainissement sont les seules insuffisances à noter.  L’efficience est également appuyée par la contribution des partenaires (Mairie et DRACPN) dans l’exécution du projet qui a permis une continuité dans la fourniture des services de la collecte secondaire et du CET.  Enfin, les modalités d’exécution ont permis de renforcer la responsabilisation des acteurs, établir et animer des espaces d’échange, et faciliter l’appropriation locale.</w:t>
      </w:r>
    </w:p>
    <w:p w14:paraId="0BF0580E"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color w:val="222222"/>
          <w:szCs w:val="24"/>
          <w:highlight w:val="white"/>
          <w:lang w:val="fr-FR" w:eastAsia="zh-CN"/>
        </w:rPr>
        <w:t xml:space="preserve">Même en l’absence d’une évaluation d’effets / impacts avec une analyse fine de la contribution du projet, l’équipe de mission a relevé des </w:t>
      </w:r>
      <w:r w:rsidRPr="000C227E">
        <w:rPr>
          <w:rFonts w:ascii="Arial" w:eastAsia="Times New Roman" w:hAnsi="Arial" w:cs="Arial"/>
          <w:b/>
          <w:color w:val="222222"/>
          <w:szCs w:val="24"/>
          <w:highlight w:val="white"/>
          <w:lang w:val="fr-FR" w:eastAsia="zh-CN"/>
        </w:rPr>
        <w:t>impacts</w:t>
      </w:r>
      <w:r w:rsidRPr="000C227E">
        <w:rPr>
          <w:rFonts w:ascii="Arial" w:eastAsia="Times New Roman" w:hAnsi="Arial" w:cs="Arial"/>
          <w:color w:val="222222"/>
          <w:szCs w:val="24"/>
          <w:highlight w:val="white"/>
          <w:lang w:val="fr-FR" w:eastAsia="zh-CN"/>
        </w:rPr>
        <w:t xml:space="preserve"> positifs du CONFIDES.  Au niveau technique, le projet a su développer une expertise locale en matière de GIDD, un vivier de compétences à la disposition de la mairie des services techniques, et de l’ensemble du secteur.  L’accompagnement du</w:t>
      </w:r>
      <w:r w:rsidRPr="000C227E">
        <w:rPr>
          <w:rFonts w:ascii="Liberation Serif" w:eastAsia="Times New Roman" w:hAnsi="Liberation Serif" w:cs="Liberation Serif"/>
          <w:color w:val="222222"/>
          <w:szCs w:val="24"/>
          <w:highlight w:val="white"/>
          <w:lang w:val="fr-FR" w:eastAsia="zh-CN"/>
        </w:rPr>
        <w:t xml:space="preserve"> </w:t>
      </w:r>
      <w:r w:rsidRPr="000C227E">
        <w:rPr>
          <w:rFonts w:ascii="Arial" w:eastAsia="Times New Roman" w:hAnsi="Arial" w:cs="Arial"/>
          <w:color w:val="222222"/>
          <w:szCs w:val="24"/>
          <w:highlight w:val="white"/>
          <w:lang w:val="fr-FR" w:eastAsia="zh-CN"/>
        </w:rPr>
        <w:t>CONFIDES a également permis de renforcer la légitimité institutionnelle des GIE.  En effet, certains de ces opérateurs continuaient à fonctionner avec des statuts d’associations.  La transformation institutionnelle a facilité l’établissement de contrats de gestion avec la commune</w:t>
      </w:r>
      <w:r w:rsidRPr="000C227E">
        <w:rPr>
          <w:rFonts w:ascii="Liberation Serif" w:eastAsia="Times New Roman" w:hAnsi="Liberation Serif" w:cs="Liberation Serif"/>
          <w:color w:val="222222"/>
          <w:szCs w:val="24"/>
          <w:highlight w:val="white"/>
          <w:lang w:val="fr-FR" w:eastAsia="zh-CN"/>
        </w:rPr>
        <w:t xml:space="preserve"> </w:t>
      </w:r>
      <w:r w:rsidRPr="000C227E">
        <w:rPr>
          <w:rFonts w:ascii="Arial" w:eastAsia="Times New Roman" w:hAnsi="Arial" w:cs="Arial"/>
          <w:color w:val="222222"/>
          <w:szCs w:val="24"/>
          <w:highlight w:val="white"/>
          <w:lang w:val="fr-FR" w:eastAsia="zh-CN"/>
        </w:rPr>
        <w:t>urbaine.  Cette légitimité ainsi que les compétences techniques acquises offrent des garanties renforcées en vue de relations d’affaires avec d’autres acteurs de la gestion des déchets solides.  Le projet a permis aux acteurs institutionnels (mairie et DRACPN) mais aussi aux GIE et aux unités de transformation des déchets de créer / ou renforcer quelques emplois stables</w:t>
      </w:r>
      <w:r w:rsidRPr="000C227E">
        <w:rPr>
          <w:rFonts w:ascii="Arial" w:eastAsia="Times New Roman" w:hAnsi="Arial" w:cs="Arial"/>
          <w:color w:val="222222"/>
          <w:szCs w:val="24"/>
          <w:highlight w:val="white"/>
          <w:vertAlign w:val="superscript"/>
          <w:lang w:val="fr-FR" w:eastAsia="zh-CN"/>
        </w:rPr>
        <w:footnoteReference w:id="4"/>
      </w:r>
      <w:r w:rsidRPr="000C227E">
        <w:rPr>
          <w:rFonts w:ascii="Arial" w:eastAsia="Times New Roman" w:hAnsi="Arial" w:cs="Arial"/>
          <w:color w:val="222222"/>
          <w:szCs w:val="24"/>
          <w:highlight w:val="white"/>
          <w:lang w:val="fr-FR" w:eastAsia="zh-CN"/>
        </w:rPr>
        <w:t xml:space="preserve">.  Les activités de la pré-collecte ont contribué à améliorer les revenus de dix (10) associations de femmes chiffonnières et une association de </w:t>
      </w:r>
      <w:proofErr w:type="spellStart"/>
      <w:r w:rsidRPr="000C227E">
        <w:rPr>
          <w:rFonts w:ascii="Arial" w:eastAsia="Times New Roman" w:hAnsi="Arial" w:cs="Arial"/>
          <w:color w:val="222222"/>
          <w:szCs w:val="24"/>
          <w:highlight w:val="white"/>
          <w:lang w:val="fr-FR" w:eastAsia="zh-CN"/>
        </w:rPr>
        <w:t>terreautiers</w:t>
      </w:r>
      <w:proofErr w:type="spellEnd"/>
      <w:r w:rsidRPr="000C227E">
        <w:rPr>
          <w:rFonts w:ascii="Arial" w:eastAsia="Times New Roman" w:hAnsi="Arial" w:cs="Arial"/>
          <w:color w:val="222222"/>
          <w:szCs w:val="24"/>
          <w:highlight w:val="white"/>
          <w:lang w:val="fr-FR" w:eastAsia="zh-CN"/>
        </w:rPr>
        <w:t>.  Au niveau de la salubrité générale de la ville de Sikasso, tous les acteurs sont unanimes sur le fait qu’il y a eu de nombreuses améliorations.  Celles-ci devraient, en retour, améliorer les conditions de vie et la santé des habitants de la ville.  Les messages de sensibilisation ont fortement changé le rapport des populations aux déchets et les acteurs qui les manipulent.  Les communautés prennent conscience des dangers mais aussi des opportunités liées à la gestion des déchets.  Lors des observations, la mission a constaté que les espaces qui étaient jadis des dépôts anarchiques, une fois assainis sont préservés. Les nouvelles adhésions des ménages à la pré-collecte et les augmentations de la demande pour la valorisation</w:t>
      </w:r>
      <w:r w:rsidRPr="000C227E">
        <w:rPr>
          <w:rFonts w:ascii="Arial" w:eastAsia="Times New Roman" w:hAnsi="Arial" w:cs="Arial"/>
          <w:color w:val="222222"/>
          <w:szCs w:val="24"/>
          <w:highlight w:val="white"/>
          <w:vertAlign w:val="superscript"/>
          <w:lang w:val="fr-FR" w:eastAsia="zh-CN"/>
        </w:rPr>
        <w:footnoteReference w:id="5"/>
      </w:r>
      <w:r w:rsidRPr="000C227E">
        <w:rPr>
          <w:rFonts w:ascii="Arial" w:eastAsia="Times New Roman" w:hAnsi="Arial" w:cs="Arial"/>
          <w:color w:val="222222"/>
          <w:szCs w:val="24"/>
          <w:highlight w:val="white"/>
          <w:lang w:val="fr-FR" w:eastAsia="zh-CN"/>
        </w:rPr>
        <w:t xml:space="preserve"> sont des indications de changement de comportements.</w:t>
      </w:r>
    </w:p>
    <w:p w14:paraId="1E6EC6F6" w14:textId="77777777" w:rsidR="000C227E" w:rsidRPr="000C227E" w:rsidRDefault="000C227E" w:rsidP="000C227E">
      <w:pPr>
        <w:suppressAutoHyphens/>
        <w:spacing w:after="0" w:line="240" w:lineRule="auto"/>
        <w:jc w:val="both"/>
        <w:rPr>
          <w:rFonts w:ascii="Arial" w:eastAsia="Times New Roman" w:hAnsi="Arial" w:cs="Arial"/>
          <w:color w:val="222222"/>
          <w:szCs w:val="24"/>
          <w:highlight w:val="white"/>
          <w:lang w:val="fr-FR" w:eastAsia="zh-CN"/>
        </w:rPr>
      </w:pPr>
    </w:p>
    <w:p w14:paraId="1AD395D9"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color w:val="222222"/>
          <w:szCs w:val="24"/>
          <w:highlight w:val="white"/>
          <w:lang w:val="fr-FR" w:eastAsia="zh-CN"/>
        </w:rPr>
        <w:lastRenderedPageBreak/>
        <w:t xml:space="preserve">En l’absence d’un mécanisme durable de financement de la filière de gestion des déchets solides à Sikasso, la </w:t>
      </w:r>
      <w:r w:rsidRPr="000C227E">
        <w:rPr>
          <w:rFonts w:ascii="Arial" w:eastAsia="Times New Roman" w:hAnsi="Arial" w:cs="Arial"/>
          <w:b/>
          <w:color w:val="222222"/>
          <w:szCs w:val="24"/>
          <w:highlight w:val="white"/>
          <w:lang w:val="fr-FR" w:eastAsia="zh-CN"/>
        </w:rPr>
        <w:t>durabilité</w:t>
      </w:r>
      <w:r w:rsidRPr="000C227E">
        <w:rPr>
          <w:rFonts w:ascii="Arial" w:eastAsia="Times New Roman" w:hAnsi="Arial" w:cs="Arial"/>
          <w:color w:val="222222"/>
          <w:szCs w:val="24"/>
          <w:highlight w:val="white"/>
          <w:lang w:val="fr-FR" w:eastAsia="zh-CN"/>
        </w:rPr>
        <w:t xml:space="preserve"> des précieux acquis du CONFIDES reste très fragile.   Elle dépendra dans un premier temps de la volonté politique des acteurs institutionnels.  Le portage politique réaffirmé par les acteurs rencontrés doit être traduit de façon opérationnelle par des allocations de ressources adaptées.  Pour la mairie cela signifie un appui conséquent à la mobilisation des ressources internes prévues par les dispositions de la loi</w:t>
      </w:r>
      <w:r w:rsidRPr="000C227E">
        <w:rPr>
          <w:rFonts w:ascii="Arial" w:eastAsia="Times New Roman" w:hAnsi="Arial" w:cs="Arial"/>
          <w:color w:val="222222"/>
          <w:szCs w:val="24"/>
          <w:highlight w:val="white"/>
          <w:vertAlign w:val="superscript"/>
          <w:lang w:val="fr-FR" w:eastAsia="zh-CN"/>
        </w:rPr>
        <w:footnoteReference w:id="6"/>
      </w:r>
      <w:r w:rsidRPr="000C227E">
        <w:rPr>
          <w:rFonts w:ascii="Arial" w:eastAsia="Times New Roman" w:hAnsi="Arial" w:cs="Arial"/>
          <w:color w:val="222222"/>
          <w:szCs w:val="24"/>
          <w:highlight w:val="white"/>
          <w:lang w:val="fr-FR" w:eastAsia="zh-CN"/>
        </w:rPr>
        <w:t>, l’exploration d’un élargissement possible de l’assiette des recevables</w:t>
      </w:r>
      <w:r w:rsidRPr="000C227E">
        <w:rPr>
          <w:rFonts w:ascii="Arial" w:eastAsia="Times New Roman" w:hAnsi="Arial" w:cs="Arial"/>
          <w:color w:val="222222"/>
          <w:szCs w:val="24"/>
          <w:highlight w:val="white"/>
          <w:vertAlign w:val="superscript"/>
          <w:lang w:val="fr-FR" w:eastAsia="zh-CN"/>
        </w:rPr>
        <w:footnoteReference w:id="7"/>
      </w:r>
      <w:r w:rsidRPr="000C227E">
        <w:rPr>
          <w:rFonts w:ascii="Arial" w:eastAsia="Times New Roman" w:hAnsi="Arial" w:cs="Arial"/>
          <w:color w:val="222222"/>
          <w:szCs w:val="24"/>
          <w:highlight w:val="white"/>
          <w:lang w:val="fr-FR" w:eastAsia="zh-CN"/>
        </w:rPr>
        <w:t xml:space="preserve"> en application du principe pollueur-payeur mais aussi et surtout l’adoption de mécanismes innovants de financement</w:t>
      </w:r>
      <w:r w:rsidRPr="000C227E">
        <w:rPr>
          <w:rFonts w:ascii="Arial" w:eastAsia="Times New Roman" w:hAnsi="Arial" w:cs="Arial"/>
          <w:color w:val="222222"/>
          <w:szCs w:val="24"/>
          <w:highlight w:val="white"/>
          <w:vertAlign w:val="superscript"/>
          <w:lang w:val="fr-FR" w:eastAsia="zh-CN"/>
        </w:rPr>
        <w:footnoteReference w:id="8"/>
      </w:r>
      <w:r w:rsidRPr="000C227E">
        <w:rPr>
          <w:rFonts w:ascii="Arial" w:eastAsia="Times New Roman" w:hAnsi="Arial" w:cs="Arial"/>
          <w:color w:val="222222"/>
          <w:szCs w:val="24"/>
          <w:highlight w:val="white"/>
          <w:lang w:val="fr-FR" w:eastAsia="zh-CN"/>
        </w:rPr>
        <w:t xml:space="preserve">.  Pour la DRACPN il s’agira de continuer à assurer au minimum, l’allocation budgétaire actuelle de l’ordre de 50 millions pour le fonctionnement du CET.  L’équipe d’évaluation note que l’apport pédagogique du CONFIDES a permis de mettre en place les préalables pour une durabilité institutionnelle et technique.  Les outils et supports techniques, les activités d’apprentissages, les mécanismes de concertation entre les acteurs et les instruments de renforcement institutionnel des divers acteurs sont autant d’acquis pour la durabilité.  </w:t>
      </w:r>
    </w:p>
    <w:p w14:paraId="42286E70" w14:textId="77777777" w:rsidR="000C227E" w:rsidRPr="000C227E" w:rsidRDefault="000C227E" w:rsidP="000C227E">
      <w:pPr>
        <w:suppressAutoHyphens/>
        <w:spacing w:after="0" w:line="240" w:lineRule="auto"/>
        <w:jc w:val="both"/>
        <w:rPr>
          <w:rFonts w:ascii="Arial" w:eastAsia="Times New Roman" w:hAnsi="Arial" w:cs="Arial"/>
          <w:szCs w:val="24"/>
          <w:lang w:val="fr-FR" w:eastAsia="zh-CN"/>
        </w:rPr>
      </w:pPr>
    </w:p>
    <w:p w14:paraId="242198E7"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color w:val="222222"/>
          <w:szCs w:val="24"/>
          <w:highlight w:val="white"/>
          <w:lang w:val="fr-FR" w:eastAsia="zh-CN"/>
        </w:rPr>
        <w:t xml:space="preserve">Une comparaison de la notation selon les critères OCDE lors des évaluations à mi-parcours et </w:t>
      </w:r>
      <w:r w:rsidRPr="000C227E">
        <w:rPr>
          <w:rFonts w:ascii="Arial" w:eastAsia="Times New Roman" w:hAnsi="Arial" w:cs="Arial"/>
          <w:color w:val="222222"/>
          <w:highlight w:val="white"/>
          <w:lang w:val="fr-FR" w:eastAsia="zh-CN"/>
        </w:rPr>
        <w:t>finale est donnée ci-dessous. On y on observe une amélioration pour l’efficience, l’efficacité et la durabilité :</w:t>
      </w:r>
    </w:p>
    <w:p w14:paraId="37F3A412"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Liberation Sans" w:eastAsia="Times New Roman" w:hAnsi="Liberation Sans"/>
          <w:szCs w:val="24"/>
          <w:lang w:val="fr-FR" w:eastAsia="zh-CN"/>
        </w:rPr>
        <w:pict w14:anchorId="1C06C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0.8pt;margin-top:1.35pt;width:191.8pt;height:104.45pt;z-index:251659264;mso-wrap-distance-left:0;mso-wrap-distance-right:0" filled="t">
            <v:fill color2="black"/>
            <v:imagedata r:id="rId6" o:title="" croptop="-31f" cropbottom="-31f" cropleft="-17f" cropright="-17f"/>
            <w10:wrap type="square" side="largest"/>
          </v:shape>
          <o:OLEObject Type="Embed" ProgID="Excel.Sheet.8" ShapeID="_x0000_s1026" DrawAspect="Content" ObjectID="_1572954075" r:id="rId7"/>
        </w:pict>
      </w:r>
    </w:p>
    <w:p w14:paraId="18EA0B53" w14:textId="77777777" w:rsidR="000C227E" w:rsidRPr="000C227E" w:rsidRDefault="000C227E" w:rsidP="000C227E">
      <w:pPr>
        <w:suppressAutoHyphens/>
        <w:spacing w:after="0" w:line="240" w:lineRule="auto"/>
        <w:jc w:val="both"/>
        <w:rPr>
          <w:rFonts w:ascii="Liberation Serif" w:eastAsia="Times New Roman" w:hAnsi="Liberation Serif" w:cs="Liberation Serif"/>
          <w:color w:val="222222"/>
          <w:szCs w:val="24"/>
          <w:highlight w:val="white"/>
          <w:lang w:val="fr-FR" w:eastAsia="zh-CN"/>
        </w:rPr>
      </w:pPr>
    </w:p>
    <w:p w14:paraId="65C13F40" w14:textId="77777777" w:rsidR="000C227E" w:rsidRPr="000C227E" w:rsidRDefault="000C227E" w:rsidP="000C227E">
      <w:pPr>
        <w:suppressAutoHyphens/>
        <w:spacing w:after="0" w:line="240" w:lineRule="auto"/>
        <w:jc w:val="both"/>
        <w:rPr>
          <w:rFonts w:ascii="Liberation Serif" w:eastAsia="Times New Roman" w:hAnsi="Liberation Serif" w:cs="Liberation Serif"/>
          <w:color w:val="222222"/>
          <w:szCs w:val="24"/>
          <w:highlight w:val="white"/>
          <w:lang w:val="fr-FR" w:eastAsia="zh-CN"/>
        </w:rPr>
      </w:pPr>
    </w:p>
    <w:p w14:paraId="41A45AC2" w14:textId="77777777" w:rsidR="000C227E" w:rsidRPr="000C227E" w:rsidRDefault="000C227E" w:rsidP="000C227E">
      <w:pPr>
        <w:suppressAutoHyphens/>
        <w:spacing w:after="0" w:line="240" w:lineRule="auto"/>
        <w:jc w:val="both"/>
        <w:rPr>
          <w:rFonts w:ascii="Liberation Serif" w:eastAsia="Times New Roman" w:hAnsi="Liberation Serif" w:cs="Liberation Serif"/>
          <w:color w:val="222222"/>
          <w:szCs w:val="24"/>
          <w:highlight w:val="white"/>
          <w:lang w:val="fr-FR" w:eastAsia="zh-CN"/>
        </w:rPr>
      </w:pPr>
    </w:p>
    <w:p w14:paraId="593A9C84" w14:textId="77777777" w:rsidR="000C227E" w:rsidRPr="000C227E" w:rsidRDefault="000C227E" w:rsidP="000C227E">
      <w:pPr>
        <w:suppressAutoHyphens/>
        <w:spacing w:after="0" w:line="240" w:lineRule="auto"/>
        <w:jc w:val="both"/>
        <w:rPr>
          <w:rFonts w:ascii="Liberation Serif" w:eastAsia="Times New Roman" w:hAnsi="Liberation Serif" w:cs="Liberation Serif"/>
          <w:color w:val="222222"/>
          <w:szCs w:val="24"/>
          <w:highlight w:val="white"/>
          <w:lang w:val="fr-FR" w:eastAsia="zh-CN"/>
        </w:rPr>
      </w:pPr>
    </w:p>
    <w:p w14:paraId="38935E34" w14:textId="77777777" w:rsidR="000C227E" w:rsidRPr="000C227E" w:rsidRDefault="000C227E" w:rsidP="000C227E">
      <w:pPr>
        <w:suppressAutoHyphens/>
        <w:spacing w:after="0" w:line="240" w:lineRule="auto"/>
        <w:jc w:val="both"/>
        <w:rPr>
          <w:rFonts w:ascii="Liberation Serif" w:eastAsia="Times New Roman" w:hAnsi="Liberation Serif" w:cs="Liberation Serif"/>
          <w:color w:val="222222"/>
          <w:szCs w:val="24"/>
          <w:highlight w:val="white"/>
          <w:lang w:val="fr-FR" w:eastAsia="zh-CN"/>
        </w:rPr>
      </w:pPr>
    </w:p>
    <w:p w14:paraId="0891BA19" w14:textId="77777777" w:rsidR="000C227E" w:rsidRPr="000C227E" w:rsidRDefault="000C227E" w:rsidP="000C227E">
      <w:pPr>
        <w:suppressAutoHyphens/>
        <w:spacing w:after="0" w:line="240" w:lineRule="auto"/>
        <w:jc w:val="both"/>
        <w:rPr>
          <w:rFonts w:ascii="Liberation Serif" w:eastAsia="Times New Roman" w:hAnsi="Liberation Serif" w:cs="Liberation Serif"/>
          <w:color w:val="222222"/>
          <w:szCs w:val="24"/>
          <w:highlight w:val="white"/>
          <w:lang w:val="fr-FR" w:eastAsia="zh-CN"/>
        </w:rPr>
      </w:pPr>
    </w:p>
    <w:p w14:paraId="599D1651"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p>
    <w:p w14:paraId="7A6DF4F8"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Cs w:val="24"/>
          <w:lang w:val="fr-FR" w:eastAsia="zh-CN"/>
        </w:rPr>
        <w:t xml:space="preserve">La mise en œuvre du CONFIDES est respectueuse des </w:t>
      </w:r>
      <w:r w:rsidRPr="000C227E">
        <w:rPr>
          <w:rFonts w:ascii="Arial" w:eastAsia="Times New Roman" w:hAnsi="Arial" w:cs="Arial"/>
          <w:b/>
          <w:szCs w:val="24"/>
          <w:lang w:val="fr-FR" w:eastAsia="zh-CN"/>
        </w:rPr>
        <w:t>thèmes transversaux du genre et de l’environnement</w:t>
      </w:r>
      <w:r w:rsidRPr="000C227E">
        <w:rPr>
          <w:rFonts w:ascii="Arial" w:eastAsia="Times New Roman" w:hAnsi="Arial" w:cs="Arial"/>
          <w:szCs w:val="24"/>
          <w:lang w:val="fr-FR" w:eastAsia="zh-CN"/>
        </w:rPr>
        <w:t xml:space="preserve"> à des degrés divers.  La dimension du genre n’a pas fait l’objet d’une attention particulière lors de la planification du CONFIDES.  Néanmoins, dans la mise en œuvre et le pilotage de l’intervention, le projet a prôné une approche très inclusive qui a permis la valorisation de la participation des femmes dans la filière de gestion des déchets solides. Les femmes, comme principaux acteurs de la pré-collecte ont été accompagnées à travers les associations féminines de chiffonnières.  Les intérêts pratiques et stratégiques des femmes sont représentés et discutés dans le CTOS.  Le choix des équipements et les options techniques des infrastructures ont pris en compte les spécificités de l’environnement physique. Les activités de collecte, de tri et de valorisation des</w:t>
      </w:r>
      <w:r w:rsidRPr="000C227E">
        <w:rPr>
          <w:rFonts w:ascii="Liberation Sans" w:eastAsia="Times New Roman" w:hAnsi="Liberation Sans"/>
          <w:szCs w:val="24"/>
          <w:lang w:val="fr-FR" w:eastAsia="zh-CN"/>
        </w:rPr>
        <w:t xml:space="preserve"> </w:t>
      </w:r>
      <w:r w:rsidRPr="000C227E">
        <w:rPr>
          <w:rFonts w:ascii="Arial" w:eastAsia="Times New Roman" w:hAnsi="Arial" w:cs="Arial"/>
          <w:szCs w:val="24"/>
          <w:lang w:val="fr-FR" w:eastAsia="zh-CN"/>
        </w:rPr>
        <w:t xml:space="preserve">déchets tiennent compte du calendrier saisonnier et des risques environnementaux liés à la filière des déchets solides.   Les </w:t>
      </w:r>
      <w:r w:rsidRPr="000C227E">
        <w:rPr>
          <w:rFonts w:ascii="Arial" w:eastAsia="Times New Roman" w:hAnsi="Arial" w:cs="Arial"/>
          <w:b/>
          <w:szCs w:val="24"/>
          <w:lang w:val="fr-FR" w:eastAsia="zh-CN"/>
        </w:rPr>
        <w:t>aspects horizontaux de pilotage et de monitoring</w:t>
      </w:r>
      <w:r w:rsidRPr="000C227E">
        <w:rPr>
          <w:rFonts w:ascii="Arial" w:eastAsia="Times New Roman" w:hAnsi="Arial" w:cs="Arial"/>
          <w:szCs w:val="24"/>
          <w:lang w:val="fr-FR" w:eastAsia="zh-CN"/>
        </w:rPr>
        <w:t xml:space="preserve"> ont été performants dans l’exécution du CONFIDES.  Les outils de pilotage stratégique comme le CTOS et la SMCL ont été mobilisés avec une efficacité moyenne. Les PV des rencontres indiquent la qualité des décisions et le suivi de leur mise en application mais la qualité de la participation n’a pas toujours été à hauteur de souhait. Le déploiement d’outils de suivi opérationnel simplifiés et adaptés a renforcé la qualité du rapportage.  Le cadre logique du projet est resté en phase avec la conception du CONFIDES.  L’équipe de l’évaluation a estimé néanmoins le besoin non anticipé de réviser certains indicateurs, notamment la quantité de déchets évacués vers </w:t>
      </w:r>
      <w:r w:rsidRPr="000C227E">
        <w:rPr>
          <w:rFonts w:ascii="Arial" w:eastAsia="Times New Roman" w:hAnsi="Arial" w:cs="Arial"/>
          <w:szCs w:val="24"/>
          <w:lang w:val="fr-FR" w:eastAsia="zh-CN"/>
        </w:rPr>
        <w:lastRenderedPageBreak/>
        <w:t xml:space="preserve">le CET à réduire de 800 à 500 (tonnes/mois) et le nombre de caissons amovibles passant de 5 à 2-3. </w:t>
      </w:r>
    </w:p>
    <w:p w14:paraId="675BBC3C" w14:textId="77777777" w:rsidR="000C227E" w:rsidRPr="000C227E" w:rsidRDefault="000C227E" w:rsidP="000C227E">
      <w:pPr>
        <w:suppressAutoHyphens/>
        <w:spacing w:after="0" w:line="240" w:lineRule="auto"/>
        <w:jc w:val="both"/>
        <w:rPr>
          <w:rFonts w:ascii="Arial" w:eastAsia="Times New Roman" w:hAnsi="Arial" w:cs="Arial"/>
          <w:color w:val="222222"/>
          <w:szCs w:val="24"/>
          <w:highlight w:val="white"/>
          <w:lang w:val="fr-FR" w:eastAsia="zh-CN"/>
        </w:rPr>
      </w:pPr>
    </w:p>
    <w:p w14:paraId="45514A99"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color w:val="222222"/>
          <w:szCs w:val="24"/>
          <w:highlight w:val="white"/>
          <w:lang w:val="fr-FR" w:eastAsia="zh-CN"/>
        </w:rPr>
        <w:t>La mission d’évaluation a formulé un nombre important de recommandations dont les</w:t>
      </w:r>
      <w:r w:rsidRPr="000C227E">
        <w:rPr>
          <w:rFonts w:ascii="Liberation Sans" w:eastAsia="Times New Roman" w:hAnsi="Liberation Sans"/>
          <w:color w:val="222222"/>
          <w:szCs w:val="24"/>
          <w:highlight w:val="white"/>
          <w:lang w:val="fr-FR" w:eastAsia="zh-CN"/>
        </w:rPr>
        <w:t xml:space="preserve"> </w:t>
      </w:r>
      <w:r w:rsidRPr="000C227E">
        <w:rPr>
          <w:rFonts w:ascii="Arial" w:eastAsia="Times New Roman" w:hAnsi="Arial" w:cs="Arial"/>
          <w:color w:val="222222"/>
          <w:szCs w:val="24"/>
          <w:highlight w:val="white"/>
          <w:lang w:val="fr-FR" w:eastAsia="zh-CN"/>
        </w:rPr>
        <w:t>principales sont ci-dessous :</w:t>
      </w:r>
    </w:p>
    <w:p w14:paraId="5AA7B2A3"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p>
    <w:p w14:paraId="6E7CF5FF"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Liberation Sans" w:eastAsia="Times New Roman" w:hAnsi="Liberation Sans"/>
          <w:color w:val="FF3333"/>
          <w:szCs w:val="24"/>
          <w:lang w:val="fr-FR" w:eastAsia="zh-CN"/>
        </w:rPr>
        <w:t>Cette recommandation ne concerne pas la phase post-CONFIDES, mais cible plutôt les décideurs responsables de la programmation des interventions de la CTB, tant au niveau de la centrale de la CTB qu’au ministère chargé de la coopération du développement. En général, des projets qui visent un renforcement institutionnel et un changement de comportements dans un contexte où les capacités institutionnelles sont très faibles, ont besoin d’une très longue durée pour assurer la durabilité des capacités acquises.</w:t>
      </w:r>
    </w:p>
    <w:p w14:paraId="4AF62F39" w14:textId="77777777" w:rsidR="000C227E" w:rsidRPr="000C227E" w:rsidRDefault="000C227E" w:rsidP="000C227E">
      <w:pPr>
        <w:suppressAutoHyphens/>
        <w:spacing w:after="0" w:line="240" w:lineRule="auto"/>
        <w:jc w:val="both"/>
        <w:rPr>
          <w:rFonts w:ascii="Liberation Sans" w:eastAsia="Times New Roman" w:hAnsi="Liberation Sans"/>
          <w:color w:val="FF3333"/>
          <w:szCs w:val="24"/>
          <w:lang w:val="fr-FR" w:eastAsia="zh-CN"/>
        </w:rPr>
      </w:pPr>
    </w:p>
    <w:p w14:paraId="617E73A6"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Liberation Sans" w:eastAsia="Times New Roman" w:hAnsi="Liberation Sans"/>
          <w:color w:val="FF3333"/>
          <w:szCs w:val="24"/>
          <w:lang w:val="fr-FR" w:eastAsia="zh-CN"/>
        </w:rPr>
        <w:t xml:space="preserve">En ce qui concerne la durabilité des résultats des trois interventions belges à Sikasso, </w:t>
      </w:r>
      <w:r w:rsidRPr="000C227E">
        <w:rPr>
          <w:rFonts w:ascii="Liberation Sans" w:eastAsia="Times New Roman" w:hAnsi="Liberation Sans"/>
          <w:b/>
          <w:bCs/>
          <w:color w:val="FF3333"/>
          <w:szCs w:val="24"/>
          <w:u w:val="single"/>
          <w:lang w:val="fr-FR" w:eastAsia="zh-CN"/>
        </w:rPr>
        <w:t>la recommandation centrale est d’assurer une continuité de l’appui à la gouvernance locale</w:t>
      </w:r>
      <w:r w:rsidRPr="000C227E">
        <w:rPr>
          <w:rFonts w:ascii="Liberation Sans" w:eastAsia="Times New Roman" w:hAnsi="Liberation Sans"/>
          <w:color w:val="FF3333"/>
          <w:szCs w:val="24"/>
          <w:lang w:val="fr-FR" w:eastAsia="zh-CN"/>
        </w:rPr>
        <w:t xml:space="preserve">. La raison principale pour cette recommandation est l’observation que les acquis institutionnels du CONFIDES et de ses prédécesseurs sont encore trop fragiles. La Mairie et les autres acteurs locaux n’ont plus besoin de financements importants pour des infrastructures ou des équipements, mais ils ont encore besoin d’un appui technique qui assure l’institutionnalisation des bonnes pratiques. </w:t>
      </w:r>
    </w:p>
    <w:p w14:paraId="4B278E41" w14:textId="77777777" w:rsidR="000C227E" w:rsidRPr="000C227E" w:rsidRDefault="000C227E" w:rsidP="000C227E">
      <w:pPr>
        <w:suppressAutoHyphens/>
        <w:spacing w:after="0" w:line="240" w:lineRule="auto"/>
        <w:jc w:val="both"/>
        <w:rPr>
          <w:rFonts w:ascii="Liberation Sans" w:eastAsia="Times New Roman" w:hAnsi="Liberation Sans"/>
          <w:color w:val="FF3333"/>
          <w:szCs w:val="24"/>
          <w:lang w:val="fr-FR" w:eastAsia="zh-CN"/>
        </w:rPr>
      </w:pPr>
    </w:p>
    <w:p w14:paraId="4789437B"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Liberation Sans" w:eastAsia="Times New Roman" w:hAnsi="Liberation Sans"/>
          <w:color w:val="FF3333"/>
          <w:szCs w:val="24"/>
          <w:lang w:val="fr-FR" w:eastAsia="zh-CN"/>
        </w:rPr>
        <w:t>Même si la décision de terminer l’engagement de la CTB dans le secteur des déchets est irréversible, les options suivantes pourraient être analysées :</w:t>
      </w:r>
    </w:p>
    <w:p w14:paraId="77EEA6CA"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Liberation Sans" w:eastAsia="Times New Roman" w:hAnsi="Liberation Sans"/>
          <w:color w:val="FF3333"/>
          <w:szCs w:val="24"/>
          <w:lang w:val="fr-FR" w:eastAsia="zh-CN"/>
        </w:rPr>
        <w:t>- Continuation d’un appui minimum jusqu’à la fin de la Convention Spécifique en attendant qu’une autre solution soit trouvée.</w:t>
      </w:r>
    </w:p>
    <w:p w14:paraId="19817CCF"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Liberation Sans" w:eastAsia="Times New Roman" w:hAnsi="Liberation Sans"/>
          <w:color w:val="FF3333"/>
          <w:szCs w:val="24"/>
          <w:lang w:val="fr-FR" w:eastAsia="zh-CN"/>
        </w:rPr>
        <w:t>- Intégration d’un appui à la gouvernance locale dans un autre projet de la CTB dans le cadre de la décentralisation</w:t>
      </w:r>
    </w:p>
    <w:p w14:paraId="179DDA8F"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Liberation Sans" w:eastAsia="Times New Roman" w:hAnsi="Liberation Sans"/>
          <w:color w:val="FF3333"/>
          <w:szCs w:val="24"/>
          <w:lang w:val="fr-FR" w:eastAsia="zh-CN"/>
        </w:rPr>
        <w:t>- Recherche active d’un autre bailleur qui voudrait appuyer une telle initiative soit dans le cadre d’un projet existant soit par un nouveau projet.</w:t>
      </w:r>
    </w:p>
    <w:p w14:paraId="1DD64CC2" w14:textId="77777777" w:rsidR="000C227E" w:rsidRPr="000C227E" w:rsidRDefault="000C227E" w:rsidP="000C227E">
      <w:pPr>
        <w:suppressAutoHyphens/>
        <w:spacing w:after="0" w:line="240" w:lineRule="auto"/>
        <w:jc w:val="both"/>
        <w:rPr>
          <w:rFonts w:ascii="Liberation Sans" w:eastAsia="Times New Roman" w:hAnsi="Liberation Sans"/>
          <w:color w:val="FF3333"/>
          <w:szCs w:val="24"/>
          <w:lang w:val="fr-FR" w:eastAsia="zh-CN"/>
        </w:rPr>
      </w:pPr>
    </w:p>
    <w:p w14:paraId="414B79C8"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Liberation Sans" w:eastAsia="Times New Roman" w:hAnsi="Liberation Sans"/>
          <w:color w:val="FF3333"/>
          <w:szCs w:val="24"/>
          <w:lang w:val="fr-FR" w:eastAsia="zh-CN"/>
        </w:rPr>
        <w:t xml:space="preserve">Les recommandations suivantes ciblent concrètement les activités suggérés aux acteurs locaux pour maintenir et améliorer la gestion intégrée des déchets solides à Sikasso. Un appui technique continu comme indiqué </w:t>
      </w:r>
      <w:proofErr w:type="spellStart"/>
      <w:r w:rsidRPr="000C227E">
        <w:rPr>
          <w:rFonts w:ascii="Liberation Sans" w:eastAsia="Times New Roman" w:hAnsi="Liberation Sans"/>
          <w:color w:val="FF3333"/>
          <w:szCs w:val="24"/>
          <w:lang w:val="fr-FR" w:eastAsia="zh-CN"/>
        </w:rPr>
        <w:t>au dessus</w:t>
      </w:r>
      <w:proofErr w:type="spellEnd"/>
      <w:r w:rsidRPr="000C227E">
        <w:rPr>
          <w:rFonts w:ascii="Liberation Sans" w:eastAsia="Times New Roman" w:hAnsi="Liberation Sans"/>
          <w:color w:val="FF3333"/>
          <w:szCs w:val="24"/>
          <w:lang w:val="fr-FR" w:eastAsia="zh-CN"/>
        </w:rPr>
        <w:t xml:space="preserve"> aiderait aussi la Mairie et les autres parties prenantes à mieux coordonner et mettre en </w:t>
      </w:r>
      <w:r w:rsidRPr="000C227E">
        <w:rPr>
          <w:rFonts w:ascii="Liberation Sans" w:eastAsia="Times New Roman" w:hAnsi="Liberation Sans" w:cs="Liberation Sans"/>
          <w:color w:val="FF3333"/>
          <w:szCs w:val="24"/>
          <w:lang w:val="fr-FR" w:eastAsia="zh-CN"/>
        </w:rPr>
        <w:t>œuvre ces recommandations.</w:t>
      </w:r>
    </w:p>
    <w:p w14:paraId="078BB631"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p>
    <w:p w14:paraId="15D922B0" w14:textId="77777777" w:rsidR="000C227E" w:rsidRPr="000C227E" w:rsidRDefault="000C227E" w:rsidP="000C227E">
      <w:pPr>
        <w:suppressAutoHyphens/>
        <w:spacing w:after="0" w:line="240" w:lineRule="auto"/>
        <w:jc w:val="both"/>
        <w:rPr>
          <w:rFonts w:ascii="Arial" w:eastAsia="Times New Roman" w:hAnsi="Arial" w:cs="Arial"/>
          <w:color w:val="222222"/>
          <w:szCs w:val="24"/>
          <w:highlight w:val="white"/>
          <w:lang w:val="fr-FR" w:eastAsia="zh-CN"/>
        </w:rPr>
      </w:pPr>
    </w:p>
    <w:p w14:paraId="461465D8"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b/>
          <w:szCs w:val="24"/>
          <w:lang w:val="fr-FR" w:eastAsia="zh-CN"/>
        </w:rPr>
        <w:t>Par rapport à l’approche programme</w:t>
      </w:r>
    </w:p>
    <w:p w14:paraId="1793FA3F"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Liberation Sans" w:eastAsia="Times New Roman" w:hAnsi="Liberation Sans"/>
          <w:i/>
          <w:szCs w:val="24"/>
          <w:lang w:val="fr-FR" w:eastAsia="zh-CN"/>
        </w:rPr>
        <w:t>Pour assurer la mise en œuvre d’une vision globale, à travers un paquet cohérent d’interventions, il est important pour la CTB d’inscrire de telles interventions dans le long terme, tout en assurant la continuité et la complémentarité entre les différentes phases</w:t>
      </w:r>
      <w:r w:rsidRPr="000C227E">
        <w:rPr>
          <w:rFonts w:ascii="Liberation Sans" w:eastAsia="Times New Roman" w:hAnsi="Liberation Sans"/>
          <w:szCs w:val="24"/>
          <w:lang w:val="fr-FR" w:eastAsia="zh-CN"/>
        </w:rPr>
        <w:t xml:space="preserve">. Les ruptures entre les projets successifs (PAS, PAEX et CONFIDES) et l’insuffisance dans la cohérence d’ensemble ne permettent pas un changement de comportement conséquent et une durabilité des acquis.  </w:t>
      </w:r>
    </w:p>
    <w:p w14:paraId="22F3F025"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p>
    <w:p w14:paraId="03508A32"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b/>
          <w:szCs w:val="24"/>
          <w:lang w:val="fr-FR" w:eastAsia="zh-CN"/>
        </w:rPr>
        <w:t>Pour assurer la performance de la maîtrise d’ouvrage communal</w:t>
      </w:r>
    </w:p>
    <w:p w14:paraId="43D24FF8"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Liberation Sans" w:eastAsia="Times New Roman" w:hAnsi="Liberation Sans"/>
          <w:i/>
          <w:szCs w:val="24"/>
          <w:lang w:val="fr-FR" w:eastAsia="zh-CN"/>
        </w:rPr>
        <w:t>Renforcer les arrangements contractuels entre la mairie et les opérateurs privés que sont les GIE</w:t>
      </w:r>
      <w:r w:rsidRPr="000C227E">
        <w:rPr>
          <w:rFonts w:ascii="Liberation Sans" w:eastAsia="Times New Roman" w:hAnsi="Liberation Sans"/>
          <w:szCs w:val="24"/>
          <w:lang w:val="fr-FR" w:eastAsia="zh-CN"/>
        </w:rPr>
        <w:t>.  Il s’agira de mettre en place un mécanisme qui permette de faire une évaluation annuelle des performances des GIE, y compris la collecte des données sur la satisfaction des ménages auprès des chefs de quartiers. Le processus de certification est un élément clé de la gestion des performances des GIE.</w:t>
      </w:r>
    </w:p>
    <w:p w14:paraId="7652B296" w14:textId="77777777" w:rsidR="000C227E" w:rsidRPr="000C227E" w:rsidRDefault="000C227E" w:rsidP="000C227E">
      <w:pPr>
        <w:suppressAutoHyphens/>
        <w:spacing w:after="0" w:line="240" w:lineRule="auto"/>
        <w:jc w:val="both"/>
        <w:rPr>
          <w:rFonts w:ascii="Liberation Sans" w:eastAsia="Times New Roman" w:hAnsi="Liberation Sans"/>
          <w:color w:val="222222"/>
          <w:szCs w:val="24"/>
          <w:highlight w:val="white"/>
          <w:lang w:val="fr-FR" w:eastAsia="zh-CN"/>
        </w:rPr>
      </w:pPr>
    </w:p>
    <w:p w14:paraId="5D9A1F00"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b/>
          <w:color w:val="222222"/>
          <w:szCs w:val="24"/>
          <w:highlight w:val="white"/>
          <w:lang w:val="fr-FR" w:eastAsia="zh-CN"/>
        </w:rPr>
        <w:t>Par rapport à la coordination des acteurs et des interventions</w:t>
      </w:r>
    </w:p>
    <w:p w14:paraId="7CA41C3C"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Liberation Sans" w:eastAsia="Times New Roman" w:hAnsi="Liberation Sans"/>
          <w:i/>
          <w:szCs w:val="24"/>
          <w:lang w:val="fr-FR" w:eastAsia="zh-CN"/>
        </w:rPr>
        <w:t xml:space="preserve">Assurer la mise en place et la fonctionnalité d’un cadre de concertation élargie aux autres intervenants </w:t>
      </w:r>
      <w:r w:rsidRPr="000C227E">
        <w:rPr>
          <w:rFonts w:ascii="Liberation Sans" w:eastAsia="Times New Roman" w:hAnsi="Liberation Sans"/>
          <w:szCs w:val="24"/>
          <w:lang w:val="fr-FR" w:eastAsia="zh-CN"/>
        </w:rPr>
        <w:t>(</w:t>
      </w:r>
      <w:proofErr w:type="spellStart"/>
      <w:r w:rsidRPr="000C227E">
        <w:rPr>
          <w:rFonts w:ascii="Liberation Sans" w:eastAsia="Times New Roman" w:hAnsi="Liberation Sans"/>
          <w:szCs w:val="24"/>
          <w:lang w:val="fr-FR" w:eastAsia="zh-CN"/>
        </w:rPr>
        <w:t>ONGs</w:t>
      </w:r>
      <w:proofErr w:type="spellEnd"/>
      <w:r w:rsidRPr="000C227E">
        <w:rPr>
          <w:rFonts w:ascii="Liberation Sans" w:eastAsia="Times New Roman" w:hAnsi="Liberation Sans"/>
          <w:szCs w:val="24"/>
          <w:lang w:val="fr-FR" w:eastAsia="zh-CN"/>
        </w:rPr>
        <w:t xml:space="preserve">, donateurs, projets et programmes). Cet espace assurera la </w:t>
      </w:r>
      <w:r w:rsidRPr="000C227E">
        <w:rPr>
          <w:rFonts w:ascii="Liberation Sans" w:eastAsia="Times New Roman" w:hAnsi="Liberation Sans"/>
          <w:szCs w:val="24"/>
          <w:lang w:val="fr-FR" w:eastAsia="zh-CN"/>
        </w:rPr>
        <w:lastRenderedPageBreak/>
        <w:t xml:space="preserve">consolidation des acquis du CONFIDES et la durabilité de la dynamique qu’elle a enclenchée.  </w:t>
      </w:r>
    </w:p>
    <w:p w14:paraId="3EDC36D0"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p>
    <w:p w14:paraId="212F9DB6"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Liberation Sans" w:eastAsia="Times New Roman" w:hAnsi="Liberation Sans"/>
          <w:i/>
          <w:szCs w:val="24"/>
          <w:lang w:val="fr-FR" w:eastAsia="zh-CN"/>
        </w:rPr>
        <w:t>Elaborer une note de positionnement des acteurs sur le rapport d’actualisation de la stratégie de gestion des déchets solides de la ville de Sikasso</w:t>
      </w:r>
      <w:r w:rsidRPr="000C227E">
        <w:rPr>
          <w:rFonts w:ascii="Liberation Sans" w:eastAsia="Times New Roman" w:hAnsi="Liberation Sans"/>
          <w:szCs w:val="24"/>
          <w:lang w:val="fr-FR" w:eastAsia="zh-CN"/>
        </w:rPr>
        <w:t xml:space="preserve">.  Les options proposées et les recommandations de cette étude ne prennent pas suffisamment en compte les acquis du CONFIDES. </w:t>
      </w:r>
    </w:p>
    <w:p w14:paraId="3AC201EB" w14:textId="77777777" w:rsidR="000C227E" w:rsidRPr="000C227E" w:rsidRDefault="000C227E" w:rsidP="000C227E">
      <w:pPr>
        <w:suppressAutoHyphens/>
        <w:spacing w:after="0" w:line="240" w:lineRule="auto"/>
        <w:jc w:val="both"/>
        <w:rPr>
          <w:rFonts w:ascii="Liberation Sans" w:eastAsia="Times New Roman" w:hAnsi="Liberation Sans"/>
          <w:color w:val="222222"/>
          <w:szCs w:val="24"/>
          <w:highlight w:val="white"/>
          <w:lang w:val="fr-FR" w:eastAsia="zh-CN"/>
        </w:rPr>
      </w:pPr>
    </w:p>
    <w:p w14:paraId="3FD0740E"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b/>
          <w:color w:val="222222"/>
          <w:szCs w:val="24"/>
          <w:highlight w:val="white"/>
          <w:lang w:val="fr-FR" w:eastAsia="zh-CN"/>
        </w:rPr>
        <w:t>Par rapport à l’apprentissage</w:t>
      </w:r>
    </w:p>
    <w:p w14:paraId="3B011534"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Liberation Sans" w:eastAsia="Times New Roman" w:hAnsi="Liberation Sans"/>
          <w:i/>
          <w:szCs w:val="24"/>
          <w:lang w:val="fr-FR" w:eastAsia="zh-CN"/>
        </w:rPr>
        <w:t>Assurer le partage des leçons et les conditions de réplication de l’expérience du CONFIDES à travers une large diffusion du document de capitalisation et l’organisation d’un atelier d’apprentissage</w:t>
      </w:r>
      <w:r w:rsidRPr="000C227E">
        <w:rPr>
          <w:rFonts w:ascii="Liberation Sans" w:eastAsia="Times New Roman" w:hAnsi="Liberation Sans"/>
          <w:szCs w:val="24"/>
          <w:lang w:val="fr-FR" w:eastAsia="zh-CN"/>
        </w:rPr>
        <w:t xml:space="preserve">.  </w:t>
      </w:r>
    </w:p>
    <w:p w14:paraId="339736BF" w14:textId="77777777" w:rsidR="000C227E" w:rsidRPr="000C227E" w:rsidRDefault="000C227E" w:rsidP="000C227E">
      <w:pPr>
        <w:suppressAutoHyphens/>
        <w:spacing w:after="0" w:line="240" w:lineRule="auto"/>
        <w:jc w:val="both"/>
        <w:rPr>
          <w:rFonts w:ascii="Liberation Sans" w:eastAsia="Times New Roman" w:hAnsi="Liberation Sans"/>
          <w:b/>
          <w:color w:val="222222"/>
          <w:szCs w:val="24"/>
          <w:highlight w:val="white"/>
          <w:lang w:val="fr-FR" w:eastAsia="zh-CN"/>
        </w:rPr>
      </w:pPr>
    </w:p>
    <w:p w14:paraId="4B1C0278"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b/>
          <w:color w:val="222222"/>
          <w:szCs w:val="24"/>
          <w:highlight w:val="white"/>
          <w:lang w:val="fr-FR" w:eastAsia="zh-CN"/>
        </w:rPr>
        <w:t>Par rapport à la durabilité financière</w:t>
      </w:r>
    </w:p>
    <w:p w14:paraId="0C97A192"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Liberation Sans" w:eastAsia="Times New Roman" w:hAnsi="Liberation Sans"/>
          <w:i/>
          <w:szCs w:val="24"/>
          <w:lang w:val="fr-FR" w:eastAsia="zh-CN"/>
        </w:rPr>
        <w:t>Organiser un atelier pour affiner les modalités de fonctionnement de la filière et le mécanisme de financement durable de la filière</w:t>
      </w:r>
      <w:r w:rsidRPr="000C227E">
        <w:rPr>
          <w:rFonts w:ascii="Liberation Sans" w:eastAsia="Times New Roman" w:hAnsi="Liberation Sans"/>
          <w:szCs w:val="24"/>
          <w:lang w:val="fr-FR" w:eastAsia="zh-CN"/>
        </w:rPr>
        <w:t>. Cet atelier devrait faire une analyse des différentes ressources locales mobilisables et qui peuvent être affectées à la GIDD de la ville de Sikasso</w:t>
      </w:r>
    </w:p>
    <w:p w14:paraId="301E07B3" w14:textId="77777777" w:rsidR="000C227E" w:rsidRPr="000C227E" w:rsidRDefault="000C227E" w:rsidP="000C227E">
      <w:pPr>
        <w:suppressAutoHyphens/>
        <w:spacing w:after="0" w:line="240" w:lineRule="auto"/>
        <w:jc w:val="both"/>
        <w:rPr>
          <w:rFonts w:ascii="Liberation Sans" w:eastAsia="Times New Roman" w:hAnsi="Liberation Sans"/>
          <w:i/>
          <w:szCs w:val="24"/>
          <w:lang w:val="fr-FR" w:eastAsia="zh-CN"/>
        </w:rPr>
      </w:pPr>
    </w:p>
    <w:p w14:paraId="0B1A3792"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Liberation Sans" w:eastAsia="Times New Roman" w:hAnsi="Liberation Sans"/>
          <w:i/>
          <w:szCs w:val="24"/>
          <w:lang w:val="fr-FR" w:eastAsia="zh-CN"/>
        </w:rPr>
        <w:t>Approfondir les réflexions pour accompagner le processus de transfert du CET à la mairie</w:t>
      </w:r>
      <w:r w:rsidRPr="000C227E">
        <w:rPr>
          <w:rFonts w:ascii="Liberation Sans" w:eastAsia="Times New Roman" w:hAnsi="Liberation Sans"/>
          <w:szCs w:val="24"/>
          <w:lang w:val="fr-FR" w:eastAsia="zh-CN"/>
        </w:rPr>
        <w:t>.  Il s’agira d’appuyer la mairie à définir / adopter un référentiel technico-économique pour la gestion efficace du CET sur les plans technique et financier permettant d’assurer une gestion efficiente des équipements et infrastructures.</w:t>
      </w:r>
    </w:p>
    <w:p w14:paraId="07D291D7" w14:textId="77777777" w:rsidR="000C227E" w:rsidRPr="000C227E" w:rsidRDefault="000C227E" w:rsidP="000C227E">
      <w:pPr>
        <w:suppressAutoHyphens/>
        <w:spacing w:after="0" w:line="240" w:lineRule="auto"/>
        <w:jc w:val="both"/>
        <w:rPr>
          <w:rFonts w:ascii="Liberation Serif" w:eastAsia="Times New Roman" w:hAnsi="Liberation Serif" w:cs="Liberation Serif"/>
          <w:szCs w:val="24"/>
          <w:lang w:val="fr-FR" w:eastAsia="zh-CN"/>
        </w:rPr>
      </w:pPr>
    </w:p>
    <w:p w14:paraId="3431A89E"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Cs w:val="24"/>
          <w:lang w:val="fr-FR" w:eastAsia="zh-CN"/>
        </w:rPr>
        <w:t>Le tableau suivant résume les recommandations pour les différents acteurs. Des suggestions plus détaillées sont fournies dans les sous-chapitres suivants.</w:t>
      </w:r>
    </w:p>
    <w:p w14:paraId="701E821F" w14:textId="77777777" w:rsidR="000C227E" w:rsidRPr="000C227E" w:rsidRDefault="000C227E" w:rsidP="000C227E">
      <w:pPr>
        <w:suppressAutoHyphens/>
        <w:spacing w:after="0" w:line="240" w:lineRule="auto"/>
        <w:jc w:val="both"/>
        <w:rPr>
          <w:rFonts w:ascii="Arial" w:eastAsia="Times New Roman" w:hAnsi="Arial" w:cs="Arial"/>
          <w:szCs w:val="24"/>
          <w:lang w:val="fr-FR" w:eastAsia="zh-CN"/>
        </w:rPr>
      </w:pPr>
    </w:p>
    <w:p w14:paraId="5D72DF76" w14:textId="77777777" w:rsidR="000C227E" w:rsidRPr="000C227E" w:rsidRDefault="000C227E" w:rsidP="000C227E">
      <w:pPr>
        <w:suppressAutoHyphens/>
        <w:spacing w:after="0" w:line="240" w:lineRule="auto"/>
        <w:jc w:val="both"/>
        <w:rPr>
          <w:rFonts w:ascii="Arial" w:eastAsia="Times New Roman" w:hAnsi="Arial" w:cs="Arial"/>
          <w:szCs w:val="24"/>
          <w:lang w:val="fr-FR" w:eastAsia="zh-CN"/>
        </w:rPr>
      </w:pPr>
    </w:p>
    <w:p w14:paraId="1AF3A9FB"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Cs w:val="20"/>
          <w:lang w:val="fr-FR" w:eastAsia="zh-CN"/>
        </w:rPr>
        <w:t>Tableau 1 : Recommandations pour la période après-CONFIDES</w:t>
      </w:r>
    </w:p>
    <w:p w14:paraId="10CCBC2E" w14:textId="77777777" w:rsidR="000C227E" w:rsidRPr="000C227E" w:rsidRDefault="000C227E" w:rsidP="000C227E">
      <w:pPr>
        <w:suppressAutoHyphens/>
        <w:spacing w:after="0" w:line="240" w:lineRule="auto"/>
        <w:jc w:val="both"/>
        <w:rPr>
          <w:rFonts w:ascii="Arial" w:eastAsia="Times New Roman" w:hAnsi="Arial" w:cs="Arial"/>
          <w:sz w:val="28"/>
          <w:szCs w:val="24"/>
          <w:lang w:val="fr-FR" w:eastAsia="zh-CN"/>
        </w:rPr>
      </w:pPr>
    </w:p>
    <w:tbl>
      <w:tblPr>
        <w:tblW w:w="0" w:type="auto"/>
        <w:tblInd w:w="-91" w:type="dxa"/>
        <w:tblLayout w:type="fixed"/>
        <w:tblCellMar>
          <w:top w:w="55" w:type="dxa"/>
          <w:left w:w="55" w:type="dxa"/>
          <w:bottom w:w="55" w:type="dxa"/>
          <w:right w:w="55" w:type="dxa"/>
        </w:tblCellMar>
        <w:tblLook w:val="0000" w:firstRow="0" w:lastRow="0" w:firstColumn="0" w:lastColumn="0" w:noHBand="0" w:noVBand="0"/>
      </w:tblPr>
      <w:tblGrid>
        <w:gridCol w:w="937"/>
        <w:gridCol w:w="6293"/>
        <w:gridCol w:w="1417"/>
        <w:gridCol w:w="1426"/>
      </w:tblGrid>
      <w:tr w:rsidR="000C227E" w:rsidRPr="000C227E" w14:paraId="56D4CDD9" w14:textId="77777777" w:rsidTr="006A2814">
        <w:trPr>
          <w:tblHeader/>
        </w:trPr>
        <w:tc>
          <w:tcPr>
            <w:tcW w:w="7230" w:type="dxa"/>
            <w:gridSpan w:val="2"/>
            <w:tcBorders>
              <w:top w:val="single" w:sz="1" w:space="0" w:color="000000"/>
              <w:left w:val="single" w:sz="1" w:space="0" w:color="000000"/>
              <w:bottom w:val="single" w:sz="1" w:space="0" w:color="000000"/>
            </w:tcBorders>
            <w:shd w:val="clear" w:color="auto" w:fill="auto"/>
          </w:tcPr>
          <w:p w14:paraId="195BFAD1"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Recommandation</w:t>
            </w:r>
          </w:p>
        </w:tc>
        <w:tc>
          <w:tcPr>
            <w:tcW w:w="1417" w:type="dxa"/>
            <w:tcBorders>
              <w:top w:val="single" w:sz="1" w:space="0" w:color="000000"/>
              <w:left w:val="single" w:sz="1" w:space="0" w:color="000000"/>
              <w:bottom w:val="single" w:sz="1" w:space="0" w:color="000000"/>
            </w:tcBorders>
            <w:shd w:val="clear" w:color="auto" w:fill="auto"/>
          </w:tcPr>
          <w:p w14:paraId="78B1F00D"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Responsable</w:t>
            </w:r>
          </w:p>
        </w:tc>
        <w:tc>
          <w:tcPr>
            <w:tcW w:w="1426" w:type="dxa"/>
            <w:tcBorders>
              <w:top w:val="single" w:sz="1" w:space="0" w:color="000000"/>
              <w:left w:val="single" w:sz="1" w:space="0" w:color="000000"/>
              <w:bottom w:val="single" w:sz="1" w:space="0" w:color="000000"/>
              <w:right w:val="single" w:sz="1" w:space="0" w:color="000000"/>
            </w:tcBorders>
            <w:shd w:val="clear" w:color="auto" w:fill="auto"/>
          </w:tcPr>
          <w:p w14:paraId="5D53118A"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Importance</w:t>
            </w:r>
          </w:p>
        </w:tc>
      </w:tr>
      <w:tr w:rsidR="000C227E" w:rsidRPr="000C227E" w14:paraId="09E937D8" w14:textId="77777777" w:rsidTr="006A2814">
        <w:tc>
          <w:tcPr>
            <w:tcW w:w="937" w:type="dxa"/>
            <w:tcBorders>
              <w:left w:val="single" w:sz="1" w:space="0" w:color="000000"/>
              <w:bottom w:val="single" w:sz="1" w:space="0" w:color="000000"/>
            </w:tcBorders>
            <w:shd w:val="clear" w:color="auto" w:fill="auto"/>
          </w:tcPr>
          <w:p w14:paraId="3CE9DB31"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Général</w:t>
            </w:r>
          </w:p>
        </w:tc>
        <w:tc>
          <w:tcPr>
            <w:tcW w:w="6293" w:type="dxa"/>
            <w:tcBorders>
              <w:left w:val="single" w:sz="1" w:space="0" w:color="000000"/>
              <w:bottom w:val="single" w:sz="1" w:space="0" w:color="000000"/>
            </w:tcBorders>
            <w:shd w:val="clear" w:color="auto" w:fill="auto"/>
          </w:tcPr>
          <w:p w14:paraId="728ACD13"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Accompagnement ultérieur des acteurs locaux/ recherche de nouveaux partenaires</w:t>
            </w:r>
          </w:p>
        </w:tc>
        <w:tc>
          <w:tcPr>
            <w:tcW w:w="1417" w:type="dxa"/>
            <w:tcBorders>
              <w:left w:val="single" w:sz="1" w:space="0" w:color="000000"/>
              <w:bottom w:val="single" w:sz="1" w:space="0" w:color="000000"/>
            </w:tcBorders>
            <w:shd w:val="clear" w:color="auto" w:fill="auto"/>
          </w:tcPr>
          <w:p w14:paraId="51EA4FC8"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CTB Bamako</w:t>
            </w:r>
          </w:p>
          <w:p w14:paraId="25038B7E"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color w:val="FF3333"/>
                <w:sz w:val="18"/>
                <w:szCs w:val="20"/>
                <w:lang w:val="fr-FR" w:eastAsia="zh-CN"/>
              </w:rPr>
              <w:t>Ambassade belge</w:t>
            </w:r>
          </w:p>
        </w:tc>
        <w:tc>
          <w:tcPr>
            <w:tcW w:w="1426" w:type="dxa"/>
            <w:tcBorders>
              <w:left w:val="single" w:sz="1" w:space="0" w:color="000000"/>
              <w:bottom w:val="single" w:sz="1" w:space="0" w:color="000000"/>
              <w:right w:val="single" w:sz="1" w:space="0" w:color="000000"/>
            </w:tcBorders>
            <w:shd w:val="clear" w:color="auto" w:fill="FF3333"/>
          </w:tcPr>
          <w:p w14:paraId="140B2077"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b/>
                <w:bCs/>
                <w:sz w:val="18"/>
                <w:szCs w:val="20"/>
                <w:lang w:val="fr-FR" w:eastAsia="zh-CN"/>
              </w:rPr>
              <w:t>Très important</w:t>
            </w:r>
          </w:p>
        </w:tc>
      </w:tr>
      <w:tr w:rsidR="000C227E" w:rsidRPr="000C227E" w14:paraId="55190516" w14:textId="77777777" w:rsidTr="006A2814">
        <w:trPr>
          <w:cantSplit/>
        </w:trPr>
        <w:tc>
          <w:tcPr>
            <w:tcW w:w="937" w:type="dxa"/>
            <w:vMerge w:val="restart"/>
            <w:tcBorders>
              <w:left w:val="single" w:sz="1" w:space="0" w:color="000000"/>
              <w:bottom w:val="single" w:sz="1" w:space="0" w:color="000000"/>
            </w:tcBorders>
            <w:shd w:val="clear" w:color="auto" w:fill="auto"/>
          </w:tcPr>
          <w:p w14:paraId="53101F4D"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proofErr w:type="spellStart"/>
            <w:r w:rsidRPr="000C227E">
              <w:rPr>
                <w:rFonts w:ascii="Arial" w:eastAsia="Times New Roman" w:hAnsi="Arial" w:cs="Arial"/>
                <w:sz w:val="18"/>
                <w:szCs w:val="20"/>
                <w:lang w:val="fr-FR" w:eastAsia="zh-CN"/>
              </w:rPr>
              <w:t>Institu</w:t>
            </w:r>
            <w:proofErr w:type="spellEnd"/>
            <w:r w:rsidRPr="000C227E">
              <w:rPr>
                <w:rFonts w:ascii="Arial" w:eastAsia="Times New Roman" w:hAnsi="Arial" w:cs="Arial"/>
                <w:sz w:val="18"/>
                <w:szCs w:val="20"/>
                <w:lang w:val="fr-FR" w:eastAsia="zh-CN"/>
              </w:rPr>
              <w:t xml:space="preserve">- </w:t>
            </w:r>
            <w:proofErr w:type="spellStart"/>
            <w:r w:rsidRPr="000C227E">
              <w:rPr>
                <w:rFonts w:ascii="Arial" w:eastAsia="Times New Roman" w:hAnsi="Arial" w:cs="Arial"/>
                <w:sz w:val="18"/>
                <w:szCs w:val="20"/>
                <w:lang w:val="fr-FR" w:eastAsia="zh-CN"/>
              </w:rPr>
              <w:t>tionnel</w:t>
            </w:r>
            <w:proofErr w:type="spellEnd"/>
          </w:p>
        </w:tc>
        <w:tc>
          <w:tcPr>
            <w:tcW w:w="6293" w:type="dxa"/>
            <w:tcBorders>
              <w:left w:val="single" w:sz="1" w:space="0" w:color="000000"/>
              <w:bottom w:val="single" w:sz="1" w:space="0" w:color="000000"/>
            </w:tcBorders>
            <w:shd w:val="clear" w:color="auto" w:fill="auto"/>
          </w:tcPr>
          <w:p w14:paraId="2C8DB1E7"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Assurer la performance de la maîtrise d‘ouvrage :</w:t>
            </w:r>
          </w:p>
          <w:p w14:paraId="52EEB818"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 Renforcer les arrangements contractuels entre la mairie et les opérateurs privés que sont les GIE</w:t>
            </w:r>
          </w:p>
          <w:p w14:paraId="2B194E02"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 Embaucher les agents qualifiés et formés par le CONFIDES comme fonctionnaires et assurer un bon environnement de travail</w:t>
            </w:r>
          </w:p>
          <w:p w14:paraId="04D25BAD"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 Assurer l’amélioration de la surveillance de la pré-collecte afin d’éviter les dépôts anarchiques et le déversement des ordures aux alentours des caissons</w:t>
            </w:r>
          </w:p>
          <w:p w14:paraId="1513B120"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 Améliorer la responsabilisation et assurer le fonctionnement de la division municipale de gestion des déchets, notamment la prise en charge du carburant des agents</w:t>
            </w:r>
          </w:p>
        </w:tc>
        <w:tc>
          <w:tcPr>
            <w:tcW w:w="1417" w:type="dxa"/>
            <w:tcBorders>
              <w:left w:val="single" w:sz="1" w:space="0" w:color="000000"/>
              <w:bottom w:val="single" w:sz="1" w:space="0" w:color="000000"/>
            </w:tcBorders>
            <w:shd w:val="clear" w:color="auto" w:fill="auto"/>
          </w:tcPr>
          <w:p w14:paraId="2F7ED1B9"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Mairie</w:t>
            </w:r>
          </w:p>
        </w:tc>
        <w:tc>
          <w:tcPr>
            <w:tcW w:w="1426" w:type="dxa"/>
            <w:tcBorders>
              <w:left w:val="single" w:sz="1" w:space="0" w:color="000000"/>
              <w:bottom w:val="single" w:sz="1" w:space="0" w:color="000000"/>
              <w:right w:val="single" w:sz="1" w:space="0" w:color="000000"/>
            </w:tcBorders>
            <w:shd w:val="clear" w:color="auto" w:fill="FF3333"/>
          </w:tcPr>
          <w:p w14:paraId="2F40696B"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b/>
                <w:bCs/>
                <w:sz w:val="18"/>
                <w:szCs w:val="20"/>
                <w:lang w:val="fr-FR" w:eastAsia="zh-CN"/>
              </w:rPr>
              <w:t>Très important</w:t>
            </w:r>
          </w:p>
        </w:tc>
      </w:tr>
      <w:tr w:rsidR="000C227E" w:rsidRPr="000C227E" w14:paraId="4C3A5507" w14:textId="77777777" w:rsidTr="006A2814">
        <w:trPr>
          <w:cantSplit/>
        </w:trPr>
        <w:tc>
          <w:tcPr>
            <w:tcW w:w="937" w:type="dxa"/>
            <w:vMerge/>
            <w:tcBorders>
              <w:left w:val="single" w:sz="1" w:space="0" w:color="000000"/>
              <w:bottom w:val="single" w:sz="1" w:space="0" w:color="000000"/>
            </w:tcBorders>
            <w:shd w:val="clear" w:color="auto" w:fill="auto"/>
          </w:tcPr>
          <w:p w14:paraId="3BE50751"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5C567E99"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Appui aux chiffonnières :</w:t>
            </w:r>
          </w:p>
          <w:p w14:paraId="7D439B0E"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Mettre en place un système de motivation des associations féminines qui assurent le balayage de la ville, à travers un budget trimestriel pour continuer à les intéresser</w:t>
            </w:r>
          </w:p>
          <w:p w14:paraId="25A0625F"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 Améliorer les relations d’affaires entre les chiffonnières et les unités de transformation</w:t>
            </w:r>
          </w:p>
        </w:tc>
        <w:tc>
          <w:tcPr>
            <w:tcW w:w="1417" w:type="dxa"/>
            <w:tcBorders>
              <w:left w:val="single" w:sz="1" w:space="0" w:color="000000"/>
              <w:bottom w:val="single" w:sz="1" w:space="0" w:color="000000"/>
            </w:tcBorders>
            <w:shd w:val="clear" w:color="auto" w:fill="auto"/>
          </w:tcPr>
          <w:p w14:paraId="14EA9AC6"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Mairie</w:t>
            </w:r>
          </w:p>
        </w:tc>
        <w:tc>
          <w:tcPr>
            <w:tcW w:w="1426" w:type="dxa"/>
            <w:tcBorders>
              <w:left w:val="single" w:sz="1" w:space="0" w:color="000000"/>
              <w:bottom w:val="single" w:sz="1" w:space="0" w:color="000000"/>
              <w:right w:val="single" w:sz="1" w:space="0" w:color="000000"/>
            </w:tcBorders>
            <w:shd w:val="clear" w:color="auto" w:fill="FFFF99"/>
          </w:tcPr>
          <w:p w14:paraId="0740639E"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Important</w:t>
            </w:r>
          </w:p>
        </w:tc>
      </w:tr>
      <w:tr w:rsidR="000C227E" w:rsidRPr="000C227E" w14:paraId="11404AD4" w14:textId="77777777" w:rsidTr="006A2814">
        <w:trPr>
          <w:cantSplit/>
        </w:trPr>
        <w:tc>
          <w:tcPr>
            <w:tcW w:w="937" w:type="dxa"/>
            <w:vMerge/>
            <w:tcBorders>
              <w:left w:val="single" w:sz="1" w:space="0" w:color="000000"/>
              <w:bottom w:val="single" w:sz="1" w:space="0" w:color="000000"/>
            </w:tcBorders>
            <w:shd w:val="clear" w:color="auto" w:fill="auto"/>
          </w:tcPr>
          <w:p w14:paraId="74DCC2F5"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543033E7"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Assurer la mise en place et la fonctionnalité d’un cadre de concertation élargie aux autres intervenants</w:t>
            </w:r>
          </w:p>
        </w:tc>
        <w:tc>
          <w:tcPr>
            <w:tcW w:w="1417" w:type="dxa"/>
            <w:tcBorders>
              <w:left w:val="single" w:sz="1" w:space="0" w:color="000000"/>
              <w:bottom w:val="single" w:sz="1" w:space="0" w:color="000000"/>
            </w:tcBorders>
            <w:shd w:val="clear" w:color="auto" w:fill="auto"/>
          </w:tcPr>
          <w:p w14:paraId="58440B58"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Gouvernorat</w:t>
            </w:r>
          </w:p>
        </w:tc>
        <w:tc>
          <w:tcPr>
            <w:tcW w:w="1426" w:type="dxa"/>
            <w:tcBorders>
              <w:left w:val="single" w:sz="1" w:space="0" w:color="000000"/>
              <w:bottom w:val="single" w:sz="1" w:space="0" w:color="000000"/>
              <w:right w:val="single" w:sz="1" w:space="0" w:color="000000"/>
            </w:tcBorders>
            <w:shd w:val="clear" w:color="auto" w:fill="FFFF99"/>
          </w:tcPr>
          <w:p w14:paraId="4574146C"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Important</w:t>
            </w:r>
          </w:p>
        </w:tc>
      </w:tr>
      <w:tr w:rsidR="000C227E" w:rsidRPr="000C227E" w14:paraId="486B6C7A" w14:textId="77777777" w:rsidTr="006A2814">
        <w:trPr>
          <w:cantSplit/>
        </w:trPr>
        <w:tc>
          <w:tcPr>
            <w:tcW w:w="937" w:type="dxa"/>
            <w:vMerge/>
            <w:tcBorders>
              <w:left w:val="single" w:sz="1" w:space="0" w:color="000000"/>
              <w:bottom w:val="single" w:sz="1" w:space="0" w:color="000000"/>
            </w:tcBorders>
            <w:shd w:val="clear" w:color="auto" w:fill="auto"/>
          </w:tcPr>
          <w:p w14:paraId="6A836774"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4E24AF12"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Elaborer une note de position des acteurs sur le document d’actualisation de la stratégie de gestion des déchets solides de la ville de Sikasso</w:t>
            </w:r>
          </w:p>
        </w:tc>
        <w:tc>
          <w:tcPr>
            <w:tcW w:w="1417" w:type="dxa"/>
            <w:tcBorders>
              <w:left w:val="single" w:sz="1" w:space="0" w:color="000000"/>
              <w:bottom w:val="single" w:sz="1" w:space="0" w:color="000000"/>
            </w:tcBorders>
            <w:shd w:val="clear" w:color="auto" w:fill="auto"/>
          </w:tcPr>
          <w:p w14:paraId="705D2EE3"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Gouvernorat</w:t>
            </w:r>
          </w:p>
        </w:tc>
        <w:tc>
          <w:tcPr>
            <w:tcW w:w="1426" w:type="dxa"/>
            <w:tcBorders>
              <w:left w:val="single" w:sz="1" w:space="0" w:color="000000"/>
              <w:bottom w:val="single" w:sz="1" w:space="0" w:color="000000"/>
              <w:right w:val="single" w:sz="1" w:space="0" w:color="000000"/>
            </w:tcBorders>
            <w:shd w:val="clear" w:color="auto" w:fill="FFFF99"/>
          </w:tcPr>
          <w:p w14:paraId="41DCA324"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Important</w:t>
            </w:r>
          </w:p>
        </w:tc>
      </w:tr>
      <w:tr w:rsidR="000C227E" w:rsidRPr="000C227E" w14:paraId="01D5C55B" w14:textId="77777777" w:rsidTr="006A2814">
        <w:trPr>
          <w:cantSplit/>
        </w:trPr>
        <w:tc>
          <w:tcPr>
            <w:tcW w:w="937" w:type="dxa"/>
            <w:vMerge/>
            <w:tcBorders>
              <w:left w:val="single" w:sz="1" w:space="0" w:color="000000"/>
              <w:bottom w:val="single" w:sz="1" w:space="0" w:color="000000"/>
            </w:tcBorders>
            <w:shd w:val="clear" w:color="auto" w:fill="auto"/>
          </w:tcPr>
          <w:p w14:paraId="5C2D5A56"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52EF8329"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Appuyer la DRACPN dans la mobilisation et la prise en charge des agents pour assurer les services du CET.</w:t>
            </w:r>
          </w:p>
        </w:tc>
        <w:tc>
          <w:tcPr>
            <w:tcW w:w="1417" w:type="dxa"/>
            <w:tcBorders>
              <w:left w:val="single" w:sz="1" w:space="0" w:color="000000"/>
              <w:bottom w:val="single" w:sz="1" w:space="0" w:color="000000"/>
            </w:tcBorders>
            <w:shd w:val="clear" w:color="auto" w:fill="auto"/>
          </w:tcPr>
          <w:p w14:paraId="4987A7A4"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Gouvernorat</w:t>
            </w:r>
          </w:p>
        </w:tc>
        <w:tc>
          <w:tcPr>
            <w:tcW w:w="1426" w:type="dxa"/>
            <w:tcBorders>
              <w:left w:val="single" w:sz="1" w:space="0" w:color="000000"/>
              <w:bottom w:val="single" w:sz="1" w:space="0" w:color="000000"/>
              <w:right w:val="single" w:sz="1" w:space="0" w:color="000000"/>
            </w:tcBorders>
            <w:shd w:val="clear" w:color="auto" w:fill="FF3333"/>
          </w:tcPr>
          <w:p w14:paraId="7437200F"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b/>
                <w:bCs/>
                <w:sz w:val="18"/>
                <w:szCs w:val="20"/>
                <w:lang w:val="fr-FR" w:eastAsia="zh-CN"/>
              </w:rPr>
              <w:t>Très important</w:t>
            </w:r>
          </w:p>
        </w:tc>
      </w:tr>
      <w:tr w:rsidR="000C227E" w:rsidRPr="000C227E" w14:paraId="7CB9BA23" w14:textId="77777777" w:rsidTr="006A2814">
        <w:trPr>
          <w:cantSplit/>
        </w:trPr>
        <w:tc>
          <w:tcPr>
            <w:tcW w:w="937" w:type="dxa"/>
            <w:vMerge/>
            <w:tcBorders>
              <w:left w:val="single" w:sz="1" w:space="0" w:color="000000"/>
              <w:bottom w:val="single" w:sz="1" w:space="0" w:color="000000"/>
            </w:tcBorders>
            <w:shd w:val="clear" w:color="auto" w:fill="auto"/>
          </w:tcPr>
          <w:p w14:paraId="0100E8BD"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1AED4261"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Assurer le partage des leçons et les conditions de réplication de l’expérience du CONFIDES à travers une large diffusion du document de capitalisation dans un atelier d’apprentissage</w:t>
            </w:r>
          </w:p>
        </w:tc>
        <w:tc>
          <w:tcPr>
            <w:tcW w:w="1417" w:type="dxa"/>
            <w:tcBorders>
              <w:left w:val="single" w:sz="1" w:space="0" w:color="000000"/>
              <w:bottom w:val="single" w:sz="1" w:space="0" w:color="000000"/>
            </w:tcBorders>
            <w:shd w:val="clear" w:color="auto" w:fill="auto"/>
          </w:tcPr>
          <w:p w14:paraId="1B1831B1"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Mairie/ DRACPN</w:t>
            </w:r>
          </w:p>
        </w:tc>
        <w:tc>
          <w:tcPr>
            <w:tcW w:w="1426" w:type="dxa"/>
            <w:tcBorders>
              <w:left w:val="single" w:sz="1" w:space="0" w:color="000000"/>
              <w:bottom w:val="single" w:sz="1" w:space="0" w:color="000000"/>
              <w:right w:val="single" w:sz="1" w:space="0" w:color="000000"/>
            </w:tcBorders>
            <w:shd w:val="clear" w:color="auto" w:fill="99FF33"/>
          </w:tcPr>
          <w:p w14:paraId="0A370B50"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Souhaitable</w:t>
            </w:r>
          </w:p>
        </w:tc>
      </w:tr>
      <w:tr w:rsidR="000C227E" w:rsidRPr="000C227E" w14:paraId="406E3CE3" w14:textId="77777777" w:rsidTr="006A2814">
        <w:trPr>
          <w:cantSplit/>
        </w:trPr>
        <w:tc>
          <w:tcPr>
            <w:tcW w:w="937" w:type="dxa"/>
            <w:vMerge w:val="restart"/>
            <w:tcBorders>
              <w:left w:val="single" w:sz="1" w:space="0" w:color="000000"/>
              <w:bottom w:val="single" w:sz="1" w:space="0" w:color="000000"/>
            </w:tcBorders>
            <w:shd w:val="clear" w:color="auto" w:fill="auto"/>
          </w:tcPr>
          <w:p w14:paraId="7C26D080"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proofErr w:type="spellStart"/>
            <w:r w:rsidRPr="000C227E">
              <w:rPr>
                <w:rFonts w:ascii="Arial" w:eastAsia="Times New Roman" w:hAnsi="Arial" w:cs="Arial"/>
                <w:sz w:val="18"/>
                <w:szCs w:val="20"/>
                <w:lang w:val="fr-FR" w:eastAsia="zh-CN"/>
              </w:rPr>
              <w:t>Techni-que</w:t>
            </w:r>
            <w:proofErr w:type="spellEnd"/>
          </w:p>
        </w:tc>
        <w:tc>
          <w:tcPr>
            <w:tcW w:w="6293" w:type="dxa"/>
            <w:tcBorders>
              <w:left w:val="single" w:sz="1" w:space="0" w:color="000000"/>
              <w:bottom w:val="single" w:sz="1" w:space="0" w:color="000000"/>
            </w:tcBorders>
            <w:shd w:val="clear" w:color="auto" w:fill="auto"/>
          </w:tcPr>
          <w:p w14:paraId="7819C9CA"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 xml:space="preserve">Valorisation des déchets non recyclables, non </w:t>
            </w:r>
            <w:proofErr w:type="spellStart"/>
            <w:r w:rsidRPr="000C227E">
              <w:rPr>
                <w:rFonts w:ascii="Arial" w:eastAsia="Times New Roman" w:hAnsi="Arial" w:cs="Arial"/>
                <w:sz w:val="18"/>
                <w:szCs w:val="20"/>
                <w:lang w:val="fr-FR" w:eastAsia="zh-CN"/>
              </w:rPr>
              <w:t>compostables</w:t>
            </w:r>
            <w:proofErr w:type="spellEnd"/>
            <w:r w:rsidRPr="000C227E">
              <w:rPr>
                <w:rFonts w:ascii="Arial" w:eastAsia="Times New Roman" w:hAnsi="Arial" w:cs="Arial"/>
                <w:sz w:val="18"/>
                <w:szCs w:val="20"/>
                <w:lang w:val="fr-FR" w:eastAsia="zh-CN"/>
              </w:rPr>
              <w:t xml:space="preserve"> comme combustible alternatif dans les cimenteries</w:t>
            </w:r>
          </w:p>
        </w:tc>
        <w:tc>
          <w:tcPr>
            <w:tcW w:w="1417" w:type="dxa"/>
            <w:tcBorders>
              <w:left w:val="single" w:sz="1" w:space="0" w:color="000000"/>
              <w:bottom w:val="single" w:sz="1" w:space="0" w:color="000000"/>
            </w:tcBorders>
            <w:shd w:val="clear" w:color="auto" w:fill="auto"/>
          </w:tcPr>
          <w:p w14:paraId="105F3E00"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Mairie</w:t>
            </w:r>
          </w:p>
        </w:tc>
        <w:tc>
          <w:tcPr>
            <w:tcW w:w="1426" w:type="dxa"/>
            <w:tcBorders>
              <w:left w:val="single" w:sz="1" w:space="0" w:color="000000"/>
              <w:bottom w:val="single" w:sz="1" w:space="0" w:color="000000"/>
              <w:right w:val="single" w:sz="1" w:space="0" w:color="000000"/>
            </w:tcBorders>
            <w:shd w:val="clear" w:color="auto" w:fill="99FF33"/>
          </w:tcPr>
          <w:p w14:paraId="30DA43F8"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Souhaitable</w:t>
            </w:r>
          </w:p>
        </w:tc>
      </w:tr>
      <w:tr w:rsidR="000C227E" w:rsidRPr="000C227E" w14:paraId="2390DAC9" w14:textId="77777777" w:rsidTr="006A2814">
        <w:trPr>
          <w:cantSplit/>
        </w:trPr>
        <w:tc>
          <w:tcPr>
            <w:tcW w:w="937" w:type="dxa"/>
            <w:vMerge/>
            <w:tcBorders>
              <w:left w:val="single" w:sz="1" w:space="0" w:color="000000"/>
              <w:bottom w:val="single" w:sz="1" w:space="0" w:color="000000"/>
            </w:tcBorders>
            <w:shd w:val="clear" w:color="auto" w:fill="auto"/>
          </w:tcPr>
          <w:p w14:paraId="6022A85B"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2CA1875F"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Stockage du carton et du papier</w:t>
            </w:r>
          </w:p>
        </w:tc>
        <w:tc>
          <w:tcPr>
            <w:tcW w:w="1417" w:type="dxa"/>
            <w:tcBorders>
              <w:left w:val="single" w:sz="1" w:space="0" w:color="000000"/>
              <w:bottom w:val="single" w:sz="1" w:space="0" w:color="000000"/>
            </w:tcBorders>
            <w:shd w:val="clear" w:color="auto" w:fill="auto"/>
          </w:tcPr>
          <w:p w14:paraId="4BD318F5"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Mairie</w:t>
            </w:r>
          </w:p>
        </w:tc>
        <w:tc>
          <w:tcPr>
            <w:tcW w:w="1426" w:type="dxa"/>
            <w:tcBorders>
              <w:left w:val="single" w:sz="1" w:space="0" w:color="000000"/>
              <w:bottom w:val="single" w:sz="1" w:space="0" w:color="000000"/>
              <w:right w:val="single" w:sz="1" w:space="0" w:color="000000"/>
            </w:tcBorders>
            <w:shd w:val="clear" w:color="auto" w:fill="99FF33"/>
          </w:tcPr>
          <w:p w14:paraId="7C7159D9"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Souhaitable</w:t>
            </w:r>
          </w:p>
        </w:tc>
      </w:tr>
      <w:tr w:rsidR="000C227E" w:rsidRPr="000C227E" w14:paraId="0051DFC6" w14:textId="77777777" w:rsidTr="006A2814">
        <w:trPr>
          <w:cantSplit/>
        </w:trPr>
        <w:tc>
          <w:tcPr>
            <w:tcW w:w="937" w:type="dxa"/>
            <w:vMerge/>
            <w:tcBorders>
              <w:left w:val="single" w:sz="1" w:space="0" w:color="000000"/>
              <w:bottom w:val="single" w:sz="1" w:space="0" w:color="000000"/>
            </w:tcBorders>
            <w:shd w:val="clear" w:color="auto" w:fill="auto"/>
          </w:tcPr>
          <w:p w14:paraId="07261BBA"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5C0265B7"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Mise à disposition de poubelles pour les ménages</w:t>
            </w:r>
          </w:p>
        </w:tc>
        <w:tc>
          <w:tcPr>
            <w:tcW w:w="1417" w:type="dxa"/>
            <w:tcBorders>
              <w:left w:val="single" w:sz="1" w:space="0" w:color="000000"/>
              <w:bottom w:val="single" w:sz="1" w:space="0" w:color="000000"/>
            </w:tcBorders>
            <w:shd w:val="clear" w:color="auto" w:fill="auto"/>
          </w:tcPr>
          <w:p w14:paraId="630511B1"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Mairie</w:t>
            </w:r>
          </w:p>
        </w:tc>
        <w:tc>
          <w:tcPr>
            <w:tcW w:w="1426" w:type="dxa"/>
            <w:tcBorders>
              <w:left w:val="single" w:sz="1" w:space="0" w:color="000000"/>
              <w:bottom w:val="single" w:sz="1" w:space="0" w:color="000000"/>
              <w:right w:val="single" w:sz="1" w:space="0" w:color="000000"/>
            </w:tcBorders>
            <w:shd w:val="clear" w:color="auto" w:fill="99FF33"/>
          </w:tcPr>
          <w:p w14:paraId="5484A8F0"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Souhaitable</w:t>
            </w:r>
          </w:p>
        </w:tc>
      </w:tr>
      <w:tr w:rsidR="000C227E" w:rsidRPr="000C227E" w14:paraId="3707F513" w14:textId="77777777" w:rsidTr="006A2814">
        <w:trPr>
          <w:cantSplit/>
        </w:trPr>
        <w:tc>
          <w:tcPr>
            <w:tcW w:w="937" w:type="dxa"/>
            <w:vMerge/>
            <w:tcBorders>
              <w:left w:val="single" w:sz="1" w:space="0" w:color="000000"/>
              <w:bottom w:val="single" w:sz="1" w:space="0" w:color="000000"/>
            </w:tcBorders>
            <w:shd w:val="clear" w:color="auto" w:fill="auto"/>
          </w:tcPr>
          <w:p w14:paraId="60026793"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574C5888"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Mise à jour du zonage en coopération avec les chefs de quartier</w:t>
            </w:r>
            <w:r w:rsidRPr="000C227E">
              <w:rPr>
                <w:rFonts w:ascii="Arial" w:eastAsia="Times New Roman" w:hAnsi="Arial" w:cs="Arial"/>
                <w:color w:val="FF0000"/>
                <w:sz w:val="18"/>
                <w:szCs w:val="20"/>
                <w:lang w:val="fr-FR" w:eastAsia="zh-CN"/>
              </w:rPr>
              <w:t xml:space="preserve"> et les GIE</w:t>
            </w:r>
          </w:p>
        </w:tc>
        <w:tc>
          <w:tcPr>
            <w:tcW w:w="1417" w:type="dxa"/>
            <w:tcBorders>
              <w:left w:val="single" w:sz="1" w:space="0" w:color="000000"/>
              <w:bottom w:val="single" w:sz="1" w:space="0" w:color="000000"/>
            </w:tcBorders>
            <w:shd w:val="clear" w:color="auto" w:fill="auto"/>
          </w:tcPr>
          <w:p w14:paraId="26ED3160"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Mairie</w:t>
            </w:r>
          </w:p>
        </w:tc>
        <w:tc>
          <w:tcPr>
            <w:tcW w:w="1426" w:type="dxa"/>
            <w:tcBorders>
              <w:left w:val="single" w:sz="1" w:space="0" w:color="000000"/>
              <w:bottom w:val="single" w:sz="1" w:space="0" w:color="000000"/>
              <w:right w:val="single" w:sz="1" w:space="0" w:color="000000"/>
            </w:tcBorders>
            <w:shd w:val="clear" w:color="auto" w:fill="FFFF99"/>
          </w:tcPr>
          <w:p w14:paraId="748BECCA"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Important</w:t>
            </w:r>
          </w:p>
        </w:tc>
      </w:tr>
      <w:tr w:rsidR="000C227E" w:rsidRPr="000C227E" w14:paraId="202DEF80" w14:textId="77777777" w:rsidTr="006A2814">
        <w:trPr>
          <w:cantSplit/>
        </w:trPr>
        <w:tc>
          <w:tcPr>
            <w:tcW w:w="937" w:type="dxa"/>
            <w:vMerge/>
            <w:tcBorders>
              <w:left w:val="single" w:sz="1" w:space="0" w:color="000000"/>
              <w:bottom w:val="single" w:sz="1" w:space="0" w:color="000000"/>
            </w:tcBorders>
            <w:shd w:val="clear" w:color="auto" w:fill="auto"/>
          </w:tcPr>
          <w:p w14:paraId="47519EC3"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214475E9"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Equipement des bâtiments sur le CET avec un paratonnerre</w:t>
            </w:r>
          </w:p>
        </w:tc>
        <w:tc>
          <w:tcPr>
            <w:tcW w:w="1417" w:type="dxa"/>
            <w:tcBorders>
              <w:left w:val="single" w:sz="1" w:space="0" w:color="000000"/>
              <w:bottom w:val="single" w:sz="1" w:space="0" w:color="000000"/>
            </w:tcBorders>
            <w:shd w:val="clear" w:color="auto" w:fill="auto"/>
          </w:tcPr>
          <w:p w14:paraId="5A6C21AB"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DRACPN</w:t>
            </w:r>
          </w:p>
        </w:tc>
        <w:tc>
          <w:tcPr>
            <w:tcW w:w="1426" w:type="dxa"/>
            <w:tcBorders>
              <w:left w:val="single" w:sz="1" w:space="0" w:color="000000"/>
              <w:bottom w:val="single" w:sz="1" w:space="0" w:color="000000"/>
              <w:right w:val="single" w:sz="1" w:space="0" w:color="000000"/>
            </w:tcBorders>
            <w:shd w:val="clear" w:color="auto" w:fill="FFFF99"/>
          </w:tcPr>
          <w:p w14:paraId="0154758A"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Important</w:t>
            </w:r>
          </w:p>
        </w:tc>
      </w:tr>
      <w:tr w:rsidR="000C227E" w:rsidRPr="000C227E" w14:paraId="5B405A75" w14:textId="77777777" w:rsidTr="006A2814">
        <w:trPr>
          <w:cantSplit/>
        </w:trPr>
        <w:tc>
          <w:tcPr>
            <w:tcW w:w="937" w:type="dxa"/>
            <w:vMerge/>
            <w:tcBorders>
              <w:left w:val="single" w:sz="1" w:space="0" w:color="000000"/>
              <w:bottom w:val="single" w:sz="1" w:space="0" w:color="000000"/>
            </w:tcBorders>
            <w:shd w:val="clear" w:color="auto" w:fill="auto"/>
          </w:tcPr>
          <w:p w14:paraId="1D49B61A"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2FDBD60E"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Equipement de la cabine du pont bascule, de la pompe à eau et du bâtiment administratif avec des panneaux solaires</w:t>
            </w:r>
          </w:p>
        </w:tc>
        <w:tc>
          <w:tcPr>
            <w:tcW w:w="1417" w:type="dxa"/>
            <w:tcBorders>
              <w:left w:val="single" w:sz="1" w:space="0" w:color="000000"/>
              <w:bottom w:val="single" w:sz="1" w:space="0" w:color="000000"/>
            </w:tcBorders>
            <w:shd w:val="clear" w:color="auto" w:fill="auto"/>
          </w:tcPr>
          <w:p w14:paraId="1FAFA7AC"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DRACPN</w:t>
            </w:r>
          </w:p>
        </w:tc>
        <w:tc>
          <w:tcPr>
            <w:tcW w:w="1426" w:type="dxa"/>
            <w:tcBorders>
              <w:left w:val="single" w:sz="1" w:space="0" w:color="000000"/>
              <w:bottom w:val="single" w:sz="1" w:space="0" w:color="000000"/>
              <w:right w:val="single" w:sz="1" w:space="0" w:color="000000"/>
            </w:tcBorders>
            <w:shd w:val="clear" w:color="auto" w:fill="99FF33"/>
          </w:tcPr>
          <w:p w14:paraId="30C045BE"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Souhaitable</w:t>
            </w:r>
          </w:p>
        </w:tc>
      </w:tr>
      <w:tr w:rsidR="000C227E" w:rsidRPr="000C227E" w14:paraId="62090FF2" w14:textId="77777777" w:rsidTr="006A2814">
        <w:trPr>
          <w:cantSplit/>
        </w:trPr>
        <w:tc>
          <w:tcPr>
            <w:tcW w:w="937" w:type="dxa"/>
            <w:vMerge/>
            <w:tcBorders>
              <w:left w:val="single" w:sz="1" w:space="0" w:color="000000"/>
              <w:bottom w:val="single" w:sz="1" w:space="0" w:color="000000"/>
            </w:tcBorders>
            <w:shd w:val="clear" w:color="auto" w:fill="auto"/>
          </w:tcPr>
          <w:p w14:paraId="4EDB2730"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487B3527"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Gestion du CET – casiers MBT passifs</w:t>
            </w:r>
          </w:p>
        </w:tc>
        <w:tc>
          <w:tcPr>
            <w:tcW w:w="1417" w:type="dxa"/>
            <w:tcBorders>
              <w:left w:val="single" w:sz="1" w:space="0" w:color="000000"/>
              <w:bottom w:val="single" w:sz="1" w:space="0" w:color="000000"/>
            </w:tcBorders>
            <w:shd w:val="clear" w:color="auto" w:fill="auto"/>
          </w:tcPr>
          <w:p w14:paraId="39B2F568"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DRACPN</w:t>
            </w:r>
          </w:p>
        </w:tc>
        <w:tc>
          <w:tcPr>
            <w:tcW w:w="1426" w:type="dxa"/>
            <w:tcBorders>
              <w:left w:val="single" w:sz="1" w:space="0" w:color="000000"/>
              <w:bottom w:val="single" w:sz="1" w:space="0" w:color="000000"/>
              <w:right w:val="single" w:sz="1" w:space="0" w:color="000000"/>
            </w:tcBorders>
            <w:shd w:val="clear" w:color="auto" w:fill="FF3333"/>
          </w:tcPr>
          <w:p w14:paraId="217D6143"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b/>
                <w:bCs/>
                <w:sz w:val="18"/>
                <w:szCs w:val="20"/>
                <w:lang w:val="fr-FR" w:eastAsia="zh-CN"/>
              </w:rPr>
              <w:t>Très important</w:t>
            </w:r>
          </w:p>
        </w:tc>
      </w:tr>
      <w:tr w:rsidR="000C227E" w:rsidRPr="000C227E" w14:paraId="03915830" w14:textId="77777777" w:rsidTr="006A2814">
        <w:trPr>
          <w:cantSplit/>
        </w:trPr>
        <w:tc>
          <w:tcPr>
            <w:tcW w:w="937" w:type="dxa"/>
            <w:vMerge/>
            <w:tcBorders>
              <w:left w:val="single" w:sz="1" w:space="0" w:color="000000"/>
              <w:bottom w:val="single" w:sz="1" w:space="0" w:color="000000"/>
            </w:tcBorders>
            <w:shd w:val="clear" w:color="auto" w:fill="auto"/>
          </w:tcPr>
          <w:p w14:paraId="10B59122"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208D6D24"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Echange ou donation du bulldozer</w:t>
            </w:r>
          </w:p>
        </w:tc>
        <w:tc>
          <w:tcPr>
            <w:tcW w:w="1417" w:type="dxa"/>
            <w:tcBorders>
              <w:left w:val="single" w:sz="1" w:space="0" w:color="000000"/>
              <w:bottom w:val="single" w:sz="1" w:space="0" w:color="000000"/>
            </w:tcBorders>
            <w:shd w:val="clear" w:color="auto" w:fill="auto"/>
          </w:tcPr>
          <w:p w14:paraId="6CA0C2DC"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DRACPN</w:t>
            </w:r>
          </w:p>
        </w:tc>
        <w:tc>
          <w:tcPr>
            <w:tcW w:w="1426" w:type="dxa"/>
            <w:tcBorders>
              <w:left w:val="single" w:sz="1" w:space="0" w:color="000000"/>
              <w:bottom w:val="single" w:sz="1" w:space="0" w:color="000000"/>
              <w:right w:val="single" w:sz="1" w:space="0" w:color="000000"/>
            </w:tcBorders>
            <w:shd w:val="clear" w:color="auto" w:fill="99FF33"/>
          </w:tcPr>
          <w:p w14:paraId="6E606862"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Souhaitable</w:t>
            </w:r>
          </w:p>
        </w:tc>
      </w:tr>
      <w:tr w:rsidR="000C227E" w:rsidRPr="000C227E" w14:paraId="6915B3B7" w14:textId="77777777" w:rsidTr="006A2814">
        <w:trPr>
          <w:cantSplit/>
        </w:trPr>
        <w:tc>
          <w:tcPr>
            <w:tcW w:w="937" w:type="dxa"/>
            <w:vMerge w:val="restart"/>
            <w:tcBorders>
              <w:left w:val="single" w:sz="1" w:space="0" w:color="000000"/>
              <w:bottom w:val="single" w:sz="1" w:space="0" w:color="000000"/>
            </w:tcBorders>
            <w:shd w:val="clear" w:color="auto" w:fill="auto"/>
          </w:tcPr>
          <w:p w14:paraId="79F0E228"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Financier</w:t>
            </w:r>
          </w:p>
        </w:tc>
        <w:tc>
          <w:tcPr>
            <w:tcW w:w="6293" w:type="dxa"/>
            <w:tcBorders>
              <w:left w:val="single" w:sz="1" w:space="0" w:color="000000"/>
              <w:bottom w:val="single" w:sz="1" w:space="0" w:color="000000"/>
            </w:tcBorders>
            <w:shd w:val="clear" w:color="auto" w:fill="auto"/>
          </w:tcPr>
          <w:p w14:paraId="292105A1"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Explorer la possibilité d’utiliser les fonds non utilisés dans le cadre du budget pour financer des activités précises, définies clairement dans l’optique de renforcer la durabilité.</w:t>
            </w:r>
          </w:p>
        </w:tc>
        <w:tc>
          <w:tcPr>
            <w:tcW w:w="1417" w:type="dxa"/>
            <w:tcBorders>
              <w:left w:val="single" w:sz="1" w:space="0" w:color="000000"/>
              <w:bottom w:val="single" w:sz="1" w:space="0" w:color="000000"/>
            </w:tcBorders>
            <w:shd w:val="clear" w:color="auto" w:fill="auto"/>
          </w:tcPr>
          <w:p w14:paraId="72E1B6F2"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CTB Bamako/ siège</w:t>
            </w:r>
          </w:p>
        </w:tc>
        <w:tc>
          <w:tcPr>
            <w:tcW w:w="1426" w:type="dxa"/>
            <w:tcBorders>
              <w:left w:val="single" w:sz="1" w:space="0" w:color="000000"/>
              <w:bottom w:val="single" w:sz="1" w:space="0" w:color="000000"/>
              <w:right w:val="single" w:sz="1" w:space="0" w:color="000000"/>
            </w:tcBorders>
            <w:shd w:val="clear" w:color="auto" w:fill="FFFF99"/>
          </w:tcPr>
          <w:p w14:paraId="58344A5D"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Important</w:t>
            </w:r>
          </w:p>
        </w:tc>
      </w:tr>
      <w:tr w:rsidR="000C227E" w:rsidRPr="000C227E" w14:paraId="6412CE2C" w14:textId="77777777" w:rsidTr="006A2814">
        <w:trPr>
          <w:cantSplit/>
        </w:trPr>
        <w:tc>
          <w:tcPr>
            <w:tcW w:w="937" w:type="dxa"/>
            <w:vMerge/>
            <w:tcBorders>
              <w:left w:val="single" w:sz="1" w:space="0" w:color="000000"/>
              <w:bottom w:val="single" w:sz="1" w:space="0" w:color="000000"/>
            </w:tcBorders>
            <w:shd w:val="clear" w:color="auto" w:fill="auto"/>
          </w:tcPr>
          <w:p w14:paraId="009C5CD5"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09A219B2"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 xml:space="preserve">Organiser un atelier pour affiner les modalités de fonctionnement de la filière et un mécanisme de financement durable </w:t>
            </w:r>
          </w:p>
        </w:tc>
        <w:tc>
          <w:tcPr>
            <w:tcW w:w="1417" w:type="dxa"/>
            <w:tcBorders>
              <w:left w:val="single" w:sz="1" w:space="0" w:color="000000"/>
              <w:bottom w:val="single" w:sz="1" w:space="0" w:color="000000"/>
            </w:tcBorders>
            <w:shd w:val="clear" w:color="auto" w:fill="auto"/>
          </w:tcPr>
          <w:p w14:paraId="2AC06BA0"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Mairie</w:t>
            </w:r>
          </w:p>
        </w:tc>
        <w:tc>
          <w:tcPr>
            <w:tcW w:w="1426" w:type="dxa"/>
            <w:tcBorders>
              <w:left w:val="single" w:sz="1" w:space="0" w:color="000000"/>
              <w:bottom w:val="single" w:sz="1" w:space="0" w:color="000000"/>
              <w:right w:val="single" w:sz="1" w:space="0" w:color="000000"/>
            </w:tcBorders>
            <w:shd w:val="clear" w:color="auto" w:fill="FFFF99"/>
          </w:tcPr>
          <w:p w14:paraId="32EDB3AD"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Important</w:t>
            </w:r>
          </w:p>
        </w:tc>
      </w:tr>
      <w:tr w:rsidR="000C227E" w:rsidRPr="000C227E" w14:paraId="67B35BCE" w14:textId="77777777" w:rsidTr="006A2814">
        <w:trPr>
          <w:cantSplit/>
        </w:trPr>
        <w:tc>
          <w:tcPr>
            <w:tcW w:w="937" w:type="dxa"/>
            <w:vMerge/>
            <w:tcBorders>
              <w:left w:val="single" w:sz="1" w:space="0" w:color="000000"/>
              <w:bottom w:val="single" w:sz="1" w:space="0" w:color="000000"/>
            </w:tcBorders>
            <w:shd w:val="clear" w:color="auto" w:fill="auto"/>
          </w:tcPr>
          <w:p w14:paraId="407C59C5"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7D8CAC62"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Proposer un mini-projet à Plateforme Ressources et intensifier les prises de contacts avec d’autres bailleurs potentiels</w:t>
            </w:r>
          </w:p>
        </w:tc>
        <w:tc>
          <w:tcPr>
            <w:tcW w:w="1417" w:type="dxa"/>
            <w:tcBorders>
              <w:left w:val="single" w:sz="1" w:space="0" w:color="000000"/>
              <w:bottom w:val="single" w:sz="1" w:space="0" w:color="000000"/>
            </w:tcBorders>
            <w:shd w:val="clear" w:color="auto" w:fill="auto"/>
          </w:tcPr>
          <w:p w14:paraId="18BE394B"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Mairie</w:t>
            </w:r>
          </w:p>
        </w:tc>
        <w:tc>
          <w:tcPr>
            <w:tcW w:w="1426" w:type="dxa"/>
            <w:tcBorders>
              <w:left w:val="single" w:sz="1" w:space="0" w:color="000000"/>
              <w:bottom w:val="single" w:sz="1" w:space="0" w:color="000000"/>
              <w:right w:val="single" w:sz="1" w:space="0" w:color="000000"/>
            </w:tcBorders>
            <w:shd w:val="clear" w:color="auto" w:fill="FFFF99"/>
          </w:tcPr>
          <w:p w14:paraId="54A8B84E"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Important</w:t>
            </w:r>
          </w:p>
        </w:tc>
      </w:tr>
      <w:tr w:rsidR="000C227E" w:rsidRPr="000C227E" w14:paraId="3828ADC5" w14:textId="77777777" w:rsidTr="006A2814">
        <w:trPr>
          <w:cantSplit/>
        </w:trPr>
        <w:tc>
          <w:tcPr>
            <w:tcW w:w="937" w:type="dxa"/>
            <w:vMerge/>
            <w:tcBorders>
              <w:left w:val="single" w:sz="1" w:space="0" w:color="000000"/>
              <w:bottom w:val="single" w:sz="1" w:space="0" w:color="000000"/>
            </w:tcBorders>
            <w:shd w:val="clear" w:color="auto" w:fill="auto"/>
          </w:tcPr>
          <w:p w14:paraId="66D5D503"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3459B280"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Assurer le financement du fonctionnement du CET en soumettant une demande de mise à disposition de personnel</w:t>
            </w:r>
          </w:p>
        </w:tc>
        <w:tc>
          <w:tcPr>
            <w:tcW w:w="1417" w:type="dxa"/>
            <w:tcBorders>
              <w:left w:val="single" w:sz="1" w:space="0" w:color="000000"/>
              <w:bottom w:val="single" w:sz="1" w:space="0" w:color="000000"/>
            </w:tcBorders>
            <w:shd w:val="clear" w:color="auto" w:fill="auto"/>
          </w:tcPr>
          <w:p w14:paraId="7021AD3E"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DRACPN</w:t>
            </w:r>
          </w:p>
        </w:tc>
        <w:tc>
          <w:tcPr>
            <w:tcW w:w="1426" w:type="dxa"/>
            <w:tcBorders>
              <w:left w:val="single" w:sz="1" w:space="0" w:color="000000"/>
              <w:bottom w:val="single" w:sz="1" w:space="0" w:color="000000"/>
              <w:right w:val="single" w:sz="1" w:space="0" w:color="000000"/>
            </w:tcBorders>
            <w:shd w:val="clear" w:color="auto" w:fill="FF3333"/>
          </w:tcPr>
          <w:p w14:paraId="57000E12"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b/>
                <w:bCs/>
                <w:sz w:val="18"/>
                <w:szCs w:val="20"/>
                <w:lang w:val="fr-FR" w:eastAsia="zh-CN"/>
              </w:rPr>
              <w:t>Très important</w:t>
            </w:r>
          </w:p>
        </w:tc>
      </w:tr>
      <w:tr w:rsidR="000C227E" w:rsidRPr="000C227E" w14:paraId="2DDF3E96" w14:textId="77777777" w:rsidTr="006A2814">
        <w:trPr>
          <w:cantSplit/>
        </w:trPr>
        <w:tc>
          <w:tcPr>
            <w:tcW w:w="937" w:type="dxa"/>
            <w:vMerge/>
            <w:tcBorders>
              <w:left w:val="single" w:sz="1" w:space="0" w:color="000000"/>
              <w:bottom w:val="single" w:sz="1" w:space="0" w:color="000000"/>
            </w:tcBorders>
            <w:shd w:val="clear" w:color="auto" w:fill="auto"/>
          </w:tcPr>
          <w:p w14:paraId="0B9F2142"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72CB8769"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Approfondir les réflexions pour accompagner le processus de transfert du CET à la mairie</w:t>
            </w:r>
          </w:p>
        </w:tc>
        <w:tc>
          <w:tcPr>
            <w:tcW w:w="1417" w:type="dxa"/>
            <w:tcBorders>
              <w:left w:val="single" w:sz="1" w:space="0" w:color="000000"/>
              <w:bottom w:val="single" w:sz="1" w:space="0" w:color="000000"/>
            </w:tcBorders>
            <w:shd w:val="clear" w:color="auto" w:fill="auto"/>
          </w:tcPr>
          <w:p w14:paraId="0516CE52"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DRACPN</w:t>
            </w:r>
          </w:p>
        </w:tc>
        <w:tc>
          <w:tcPr>
            <w:tcW w:w="1426" w:type="dxa"/>
            <w:tcBorders>
              <w:left w:val="single" w:sz="1" w:space="0" w:color="000000"/>
              <w:bottom w:val="single" w:sz="1" w:space="0" w:color="000000"/>
              <w:right w:val="single" w:sz="1" w:space="0" w:color="000000"/>
            </w:tcBorders>
            <w:shd w:val="clear" w:color="auto" w:fill="FFFF99"/>
          </w:tcPr>
          <w:p w14:paraId="56F5C6FA"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Important</w:t>
            </w:r>
          </w:p>
        </w:tc>
      </w:tr>
      <w:tr w:rsidR="000C227E" w:rsidRPr="000C227E" w14:paraId="7E84D08D" w14:textId="77777777" w:rsidTr="006A2814">
        <w:trPr>
          <w:cantSplit/>
        </w:trPr>
        <w:tc>
          <w:tcPr>
            <w:tcW w:w="937" w:type="dxa"/>
            <w:vMerge/>
            <w:tcBorders>
              <w:left w:val="single" w:sz="1" w:space="0" w:color="000000"/>
              <w:bottom w:val="single" w:sz="1" w:space="0" w:color="000000"/>
            </w:tcBorders>
            <w:shd w:val="clear" w:color="auto" w:fill="auto"/>
          </w:tcPr>
          <w:p w14:paraId="6870CB32" w14:textId="77777777" w:rsidR="000C227E" w:rsidRPr="000C227E" w:rsidRDefault="000C227E" w:rsidP="000C227E">
            <w:pPr>
              <w:suppressAutoHyphens/>
              <w:snapToGrid w:val="0"/>
              <w:spacing w:after="0" w:line="240" w:lineRule="auto"/>
              <w:jc w:val="both"/>
              <w:rPr>
                <w:rFonts w:ascii="Arial" w:eastAsia="Times New Roman" w:hAnsi="Arial" w:cs="Arial"/>
                <w:sz w:val="18"/>
                <w:szCs w:val="24"/>
                <w:lang w:val="fr-FR" w:eastAsia="zh-CN"/>
              </w:rPr>
            </w:pPr>
          </w:p>
        </w:tc>
        <w:tc>
          <w:tcPr>
            <w:tcW w:w="6293" w:type="dxa"/>
            <w:tcBorders>
              <w:left w:val="single" w:sz="1" w:space="0" w:color="000000"/>
              <w:bottom w:val="single" w:sz="1" w:space="0" w:color="000000"/>
            </w:tcBorders>
            <w:shd w:val="clear" w:color="auto" w:fill="auto"/>
          </w:tcPr>
          <w:p w14:paraId="4A301AAD" w14:textId="77777777" w:rsidR="000C227E" w:rsidRPr="000C227E" w:rsidRDefault="000C227E" w:rsidP="000C227E">
            <w:pPr>
              <w:suppressAutoHyphens/>
              <w:spacing w:after="0" w:line="240" w:lineRule="auto"/>
              <w:jc w:val="both"/>
              <w:rPr>
                <w:rFonts w:ascii="Liberation Sans" w:eastAsia="Times New Roman" w:hAnsi="Liberation Sans"/>
                <w:szCs w:val="24"/>
                <w:lang w:val="fr-FR" w:eastAsia="zh-CN"/>
              </w:rPr>
            </w:pPr>
            <w:r w:rsidRPr="000C227E">
              <w:rPr>
                <w:rFonts w:ascii="Arial" w:eastAsia="Times New Roman" w:hAnsi="Arial" w:cs="Arial"/>
                <w:sz w:val="18"/>
                <w:szCs w:val="20"/>
                <w:lang w:val="fr-FR" w:eastAsia="zh-CN"/>
              </w:rPr>
              <w:t>Etablissement d’un fonds d’épargne pour le remplacement des équipements (une dotation aux amortissements)</w:t>
            </w:r>
          </w:p>
        </w:tc>
        <w:tc>
          <w:tcPr>
            <w:tcW w:w="1417" w:type="dxa"/>
            <w:tcBorders>
              <w:left w:val="single" w:sz="1" w:space="0" w:color="000000"/>
              <w:bottom w:val="single" w:sz="1" w:space="0" w:color="000000"/>
            </w:tcBorders>
            <w:shd w:val="clear" w:color="auto" w:fill="auto"/>
          </w:tcPr>
          <w:p w14:paraId="327C2CB3"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sz w:val="18"/>
                <w:szCs w:val="20"/>
                <w:lang w:val="fr-FR" w:eastAsia="zh-CN"/>
              </w:rPr>
              <w:t>GIE</w:t>
            </w:r>
          </w:p>
        </w:tc>
        <w:tc>
          <w:tcPr>
            <w:tcW w:w="1426" w:type="dxa"/>
            <w:tcBorders>
              <w:left w:val="single" w:sz="1" w:space="0" w:color="000000"/>
              <w:bottom w:val="single" w:sz="1" w:space="0" w:color="000000"/>
              <w:right w:val="single" w:sz="1" w:space="0" w:color="000000"/>
            </w:tcBorders>
            <w:shd w:val="clear" w:color="auto" w:fill="FF3333"/>
          </w:tcPr>
          <w:p w14:paraId="60CB9E4D" w14:textId="77777777" w:rsidR="000C227E" w:rsidRPr="000C227E" w:rsidRDefault="000C227E" w:rsidP="000C227E">
            <w:pPr>
              <w:suppressLineNumbers/>
              <w:suppressAutoHyphens/>
              <w:spacing w:after="0" w:line="240" w:lineRule="auto"/>
              <w:jc w:val="both"/>
              <w:rPr>
                <w:rFonts w:ascii="Liberation Serif" w:eastAsia="Times New Roman" w:hAnsi="Liberation Serif" w:cs="Liberation Serif"/>
                <w:sz w:val="20"/>
                <w:szCs w:val="24"/>
                <w:lang w:val="fr-FR" w:eastAsia="zh-CN"/>
              </w:rPr>
            </w:pPr>
            <w:r w:rsidRPr="000C227E">
              <w:rPr>
                <w:rFonts w:ascii="Arial" w:eastAsia="Times New Roman" w:hAnsi="Arial" w:cs="Arial"/>
                <w:b/>
                <w:bCs/>
                <w:sz w:val="18"/>
                <w:szCs w:val="20"/>
                <w:lang w:val="fr-FR" w:eastAsia="zh-CN"/>
              </w:rPr>
              <w:t>Très important</w:t>
            </w:r>
          </w:p>
        </w:tc>
      </w:tr>
    </w:tbl>
    <w:p w14:paraId="4841B698" w14:textId="77777777" w:rsidR="000C227E" w:rsidRPr="000C227E" w:rsidRDefault="000C227E">
      <w:pPr>
        <w:rPr>
          <w:lang w:val="fr-BE"/>
        </w:rPr>
      </w:pPr>
    </w:p>
    <w:sectPr w:rsidR="000C227E" w:rsidRPr="000C22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EB69F" w14:textId="77777777" w:rsidR="000C227E" w:rsidRDefault="000C227E" w:rsidP="000C227E">
      <w:pPr>
        <w:spacing w:after="0" w:line="240" w:lineRule="auto"/>
      </w:pPr>
      <w:r>
        <w:separator/>
      </w:r>
    </w:p>
  </w:endnote>
  <w:endnote w:type="continuationSeparator" w:id="0">
    <w:p w14:paraId="2E44ABEB" w14:textId="77777777" w:rsidR="000C227E" w:rsidRDefault="000C227E" w:rsidP="000C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default"/>
  </w:font>
  <w:font w:name="Liberation Serif">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3DEE9" w14:textId="77777777" w:rsidR="000C227E" w:rsidRDefault="000C227E" w:rsidP="000C227E">
      <w:pPr>
        <w:spacing w:after="0" w:line="240" w:lineRule="auto"/>
      </w:pPr>
      <w:r>
        <w:separator/>
      </w:r>
    </w:p>
  </w:footnote>
  <w:footnote w:type="continuationSeparator" w:id="0">
    <w:p w14:paraId="71D31025" w14:textId="77777777" w:rsidR="000C227E" w:rsidRDefault="000C227E" w:rsidP="000C227E">
      <w:pPr>
        <w:spacing w:after="0" w:line="240" w:lineRule="auto"/>
      </w:pPr>
      <w:r>
        <w:continuationSeparator/>
      </w:r>
    </w:p>
  </w:footnote>
  <w:footnote w:id="1">
    <w:p w14:paraId="403C96CB" w14:textId="77777777" w:rsidR="000C227E" w:rsidRDefault="000C227E" w:rsidP="000C227E">
      <w:r>
        <w:rPr>
          <w:rStyle w:val="Funotenzeichen"/>
          <w:rFonts w:ascii="Arial" w:hAnsi="Arial"/>
        </w:rPr>
        <w:footnoteRef/>
      </w:r>
      <w:r>
        <w:br w:type="page"/>
      </w:r>
    </w:p>
    <w:p w14:paraId="7AC23F27" w14:textId="77777777" w:rsidR="000C227E" w:rsidRDefault="000C227E" w:rsidP="000C227E">
      <w:pPr>
        <w:pageBreakBefore/>
      </w:pPr>
    </w:p>
    <w:p w14:paraId="08FDAE56" w14:textId="77777777" w:rsidR="000C227E" w:rsidRDefault="000C227E" w:rsidP="000C227E">
      <w:pPr>
        <w:pageBreakBefore/>
      </w:pPr>
    </w:p>
    <w:p w14:paraId="0715D3C4" w14:textId="77777777" w:rsidR="000C227E" w:rsidRPr="000C227E" w:rsidRDefault="000C227E" w:rsidP="000C227E">
      <w:pPr>
        <w:pStyle w:val="Notedebasdepage"/>
        <w:pageBreakBefore/>
        <w:rPr>
          <w:lang w:val="fr-BE"/>
        </w:rPr>
      </w:pPr>
      <w:r>
        <w:rPr>
          <w:rFonts w:eastAsia="Liberation Serif" w:cs="Liberation Serif"/>
        </w:rPr>
        <w:tab/>
      </w:r>
      <w:r w:rsidRPr="000C227E">
        <w:rPr>
          <w:rFonts w:ascii="Arial" w:eastAsia="Liberation Serif" w:hAnsi="Arial" w:cs="Arial"/>
          <w:sz w:val="16"/>
          <w:lang w:val="fr-BE"/>
        </w:rPr>
        <w:t xml:space="preserve"> </w:t>
      </w:r>
      <w:r w:rsidRPr="000C227E">
        <w:rPr>
          <w:rFonts w:ascii="Arial" w:hAnsi="Arial" w:cs="Arial"/>
          <w:sz w:val="16"/>
          <w:lang w:val="fr-BE"/>
        </w:rPr>
        <w:t>En l’occurrence, la loi N°01-020 du 30 Mai 2001 relative aux pollutions et aux nuisances en son chapitre V, le décret N°01-394 / PRM du 06 septembre 2001 fixant les modalités de gestion des déchets solides et la stratégie pour la gestion des déchets solides adoptée en 2009.</w:t>
      </w:r>
    </w:p>
  </w:footnote>
  <w:footnote w:id="2">
    <w:p w14:paraId="6B69B45B" w14:textId="77777777" w:rsidR="000C227E" w:rsidRPr="000C227E" w:rsidRDefault="000C227E" w:rsidP="000C227E">
      <w:pPr>
        <w:pStyle w:val="Notedebasdepage"/>
        <w:rPr>
          <w:lang w:val="fr-BE"/>
        </w:rPr>
      </w:pPr>
      <w:r>
        <w:rPr>
          <w:rStyle w:val="Funotenzeichen"/>
          <w:rFonts w:ascii="Arial" w:hAnsi="Arial"/>
        </w:rPr>
        <w:footnoteRef/>
      </w:r>
      <w:r w:rsidRPr="000C227E">
        <w:rPr>
          <w:rFonts w:ascii="Arial" w:eastAsia="Liberation Serif" w:hAnsi="Arial" w:cs="Arial"/>
          <w:sz w:val="16"/>
          <w:lang w:val="fr-BE"/>
        </w:rPr>
        <w:tab/>
        <w:t xml:space="preserve"> </w:t>
      </w:r>
      <w:r w:rsidRPr="000C227E">
        <w:rPr>
          <w:rFonts w:ascii="Arial" w:hAnsi="Arial" w:cs="Arial"/>
          <w:sz w:val="16"/>
          <w:lang w:val="fr-BE"/>
        </w:rPr>
        <w:t>Sur une cible initiale de 6, il en a réalisé 3.</w:t>
      </w:r>
    </w:p>
  </w:footnote>
  <w:footnote w:id="3">
    <w:p w14:paraId="51390310" w14:textId="77777777" w:rsidR="000C227E" w:rsidRPr="000C227E" w:rsidRDefault="000C227E" w:rsidP="000C227E">
      <w:pPr>
        <w:pStyle w:val="Notedebasdepage"/>
        <w:rPr>
          <w:lang w:val="fr-BE"/>
        </w:rPr>
      </w:pPr>
      <w:r>
        <w:rPr>
          <w:rStyle w:val="Funotenzeichen"/>
          <w:rFonts w:ascii="Arial" w:hAnsi="Arial"/>
        </w:rPr>
        <w:footnoteRef/>
      </w:r>
      <w:r w:rsidRPr="000C227E">
        <w:rPr>
          <w:rFonts w:ascii="Arial" w:eastAsia="Liberation Serif" w:hAnsi="Arial" w:cs="Arial"/>
          <w:sz w:val="16"/>
          <w:lang w:val="fr-BE"/>
        </w:rPr>
        <w:tab/>
        <w:t xml:space="preserve"> </w:t>
      </w:r>
      <w:r w:rsidRPr="000C227E">
        <w:rPr>
          <w:rFonts w:ascii="Arial" w:hAnsi="Arial" w:cs="Arial"/>
          <w:sz w:val="16"/>
          <w:lang w:val="fr-BE"/>
        </w:rPr>
        <w:t>Suspension qui fait suite à un processus supra – régional initié depuis Bamako pour la même action.</w:t>
      </w:r>
    </w:p>
  </w:footnote>
  <w:footnote w:id="4">
    <w:p w14:paraId="13376E55" w14:textId="77777777" w:rsidR="000C227E" w:rsidRPr="000C227E" w:rsidRDefault="000C227E" w:rsidP="000C227E">
      <w:pPr>
        <w:pStyle w:val="Notedebasdepage"/>
        <w:rPr>
          <w:lang w:val="fr-BE"/>
        </w:rPr>
      </w:pPr>
      <w:r>
        <w:rPr>
          <w:rStyle w:val="Funotenzeichen"/>
          <w:rFonts w:ascii="Arial" w:hAnsi="Arial"/>
        </w:rPr>
        <w:footnoteRef/>
      </w:r>
      <w:r w:rsidRPr="000C227E">
        <w:rPr>
          <w:rFonts w:ascii="Arial" w:eastAsia="Liberation Serif" w:hAnsi="Arial" w:cs="Arial"/>
          <w:sz w:val="16"/>
          <w:lang w:val="fr-BE"/>
        </w:rPr>
        <w:tab/>
        <w:t xml:space="preserve"> </w:t>
      </w:r>
      <w:r w:rsidRPr="000C227E">
        <w:rPr>
          <w:rFonts w:ascii="Arial" w:hAnsi="Arial" w:cs="Arial"/>
          <w:sz w:val="16"/>
          <w:lang w:val="fr-BE"/>
        </w:rPr>
        <w:t>Pour ce qui est des acteurs institutionnels, outre l’équipe de la division municipale de gestion des déchets, il faut noter les quinze (15) contractuels mobilisés par la DRACPN au niveau du CET et environ 32 piquets d’hygiène en cours de mobilisation par la mairie.</w:t>
      </w:r>
    </w:p>
  </w:footnote>
  <w:footnote w:id="5">
    <w:p w14:paraId="50906D79" w14:textId="77777777" w:rsidR="000C227E" w:rsidRPr="000C227E" w:rsidRDefault="000C227E" w:rsidP="000C227E">
      <w:pPr>
        <w:pStyle w:val="Notedebasdepage"/>
        <w:rPr>
          <w:lang w:val="fr-BE"/>
        </w:rPr>
      </w:pPr>
      <w:r>
        <w:rPr>
          <w:rStyle w:val="Funotenzeichen"/>
          <w:rFonts w:ascii="Arial" w:hAnsi="Arial"/>
        </w:rPr>
        <w:footnoteRef/>
      </w:r>
      <w:r w:rsidRPr="000C227E">
        <w:rPr>
          <w:rFonts w:ascii="Arial" w:eastAsia="Liberation Serif" w:hAnsi="Arial" w:cs="Arial"/>
          <w:sz w:val="16"/>
          <w:lang w:val="fr-BE"/>
        </w:rPr>
        <w:tab/>
        <w:t xml:space="preserve"> </w:t>
      </w:r>
      <w:r w:rsidRPr="000C227E">
        <w:rPr>
          <w:rFonts w:ascii="Arial" w:hAnsi="Arial" w:cs="Arial"/>
          <w:sz w:val="16"/>
          <w:lang w:val="fr-BE"/>
        </w:rPr>
        <w:t>Entre le tiers et la moitié des déchets produits est valorisé.</w:t>
      </w:r>
    </w:p>
  </w:footnote>
  <w:footnote w:id="6">
    <w:p w14:paraId="4FC49672" w14:textId="77777777" w:rsidR="000C227E" w:rsidRPr="000C227E" w:rsidRDefault="000C227E" w:rsidP="000C227E">
      <w:pPr>
        <w:pStyle w:val="Notedebasdepage"/>
        <w:rPr>
          <w:lang w:val="fr-BE"/>
        </w:rPr>
      </w:pPr>
      <w:r>
        <w:rPr>
          <w:rStyle w:val="Funotenzeichen"/>
          <w:rFonts w:ascii="Arial" w:hAnsi="Arial"/>
        </w:rPr>
        <w:footnoteRef/>
      </w:r>
      <w:r w:rsidRPr="000C227E">
        <w:rPr>
          <w:rFonts w:ascii="Arial" w:eastAsia="Liberation Serif" w:hAnsi="Arial" w:cs="Arial"/>
          <w:sz w:val="16"/>
          <w:lang w:val="fr-BE"/>
        </w:rPr>
        <w:tab/>
        <w:t xml:space="preserve"> </w:t>
      </w:r>
      <w:r w:rsidRPr="000C227E">
        <w:rPr>
          <w:rFonts w:ascii="Arial" w:hAnsi="Arial" w:cs="Arial"/>
          <w:sz w:val="16"/>
          <w:lang w:val="fr-BE"/>
        </w:rPr>
        <w:t>En l’occurrence la taxe de développement régional et local (TDRL) et la taxe de voirie.</w:t>
      </w:r>
    </w:p>
  </w:footnote>
  <w:footnote w:id="7">
    <w:p w14:paraId="43CC64F0" w14:textId="77777777" w:rsidR="000C227E" w:rsidRPr="000C227E" w:rsidRDefault="000C227E" w:rsidP="000C227E">
      <w:pPr>
        <w:pStyle w:val="Notedebasdepage"/>
        <w:rPr>
          <w:lang w:val="fr-BE"/>
        </w:rPr>
      </w:pPr>
      <w:r>
        <w:rPr>
          <w:rStyle w:val="Funotenzeichen"/>
          <w:rFonts w:ascii="Arial" w:hAnsi="Arial"/>
        </w:rPr>
        <w:footnoteRef/>
      </w:r>
      <w:r w:rsidRPr="000C227E">
        <w:rPr>
          <w:rFonts w:ascii="Arial" w:eastAsia="Liberation Serif" w:hAnsi="Arial" w:cs="Arial"/>
          <w:sz w:val="16"/>
          <w:lang w:val="fr-BE"/>
        </w:rPr>
        <w:tab/>
        <w:t xml:space="preserve"> </w:t>
      </w:r>
      <w:r w:rsidRPr="000C227E">
        <w:rPr>
          <w:rFonts w:ascii="Arial" w:hAnsi="Arial" w:cs="Arial"/>
          <w:sz w:val="16"/>
          <w:lang w:val="fr-BE"/>
        </w:rPr>
        <w:t>Sur les établissements hôteliers et artisanaux, les écoles et les établissements de soins.</w:t>
      </w:r>
    </w:p>
  </w:footnote>
  <w:footnote w:id="8">
    <w:p w14:paraId="134916A5" w14:textId="77777777" w:rsidR="000C227E" w:rsidRPr="000C227E" w:rsidRDefault="000C227E" w:rsidP="000C227E">
      <w:pPr>
        <w:pStyle w:val="Notedebasdepage"/>
        <w:rPr>
          <w:lang w:val="fr-BE"/>
        </w:rPr>
      </w:pPr>
      <w:r>
        <w:rPr>
          <w:rStyle w:val="Funotenzeichen"/>
          <w:rFonts w:ascii="Arial" w:hAnsi="Arial"/>
        </w:rPr>
        <w:footnoteRef/>
      </w:r>
      <w:r w:rsidRPr="000C227E">
        <w:rPr>
          <w:rFonts w:ascii="Arial" w:eastAsia="Liberation Serif" w:hAnsi="Arial" w:cs="Arial"/>
          <w:sz w:val="16"/>
          <w:lang w:val="fr-BE"/>
        </w:rPr>
        <w:tab/>
        <w:t xml:space="preserve"> </w:t>
      </w:r>
      <w:r w:rsidRPr="000C227E">
        <w:rPr>
          <w:rFonts w:ascii="Arial" w:hAnsi="Arial" w:cs="Arial"/>
          <w:sz w:val="16"/>
          <w:lang w:val="fr-BE"/>
        </w:rPr>
        <w:t>A l’image de la « taxe verte » applicable sur les ventes de gasoil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27E"/>
    <w:rsid w:val="000C227E"/>
    <w:rsid w:val="0063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9A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227E"/>
    <w:rPr>
      <w:sz w:val="20"/>
      <w:szCs w:val="20"/>
    </w:rPr>
  </w:style>
  <w:style w:type="character" w:customStyle="1" w:styleId="NotedebasdepageCar">
    <w:name w:val="Note de bas de page Car"/>
    <w:basedOn w:val="Policepardfaut"/>
    <w:link w:val="Notedebasdepage"/>
    <w:uiPriority w:val="99"/>
    <w:semiHidden/>
    <w:rsid w:val="000C227E"/>
    <w:rPr>
      <w:lang w:eastAsia="en-US"/>
    </w:rPr>
  </w:style>
  <w:style w:type="character" w:customStyle="1" w:styleId="Funotenzeichen">
    <w:name w:val="Fußnotenzeichen"/>
    <w:rsid w:val="000C2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3291</Words>
  <Characters>18763</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22010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KABUYA, Joseph</dc:creator>
  <cp:lastModifiedBy>KABUYA, Joseph</cp:lastModifiedBy>
  <cp:revision>1</cp:revision>
  <dcterms:created xsi:type="dcterms:W3CDTF">2017-11-23T13:48:00Z</dcterms:created>
  <dcterms:modified xsi:type="dcterms:W3CDTF">2017-11-23T13:55:00Z</dcterms:modified>
</cp:coreProperties>
</file>