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8669EC" w14:textId="77777777" w:rsidR="00DE5847" w:rsidRPr="005816CD" w:rsidRDefault="00DE5847" w:rsidP="00DE5847">
      <w:pPr>
        <w:pStyle w:val="Corpsdetexte"/>
        <w:jc w:val="both"/>
        <w:rPr>
          <w:rFonts w:ascii="Georgia" w:eastAsia="Calibri" w:hAnsi="Georgia" w:cs="Times New Roman"/>
          <w:color w:val="585756"/>
          <w:sz w:val="21"/>
          <w:szCs w:val="22"/>
          <w:lang w:val="fr-FR"/>
        </w:rPr>
      </w:pPr>
    </w:p>
    <w:p w14:paraId="1E9A6379" w14:textId="77777777" w:rsidR="00DE5847" w:rsidRPr="009D45EA" w:rsidRDefault="00DE5847" w:rsidP="009D45EA">
      <w:pPr>
        <w:pStyle w:val="Titre1"/>
        <w:spacing w:before="0" w:after="160"/>
        <w:rPr>
          <w:rFonts w:ascii="Georgia" w:hAnsi="Georgia"/>
        </w:rPr>
      </w:pPr>
      <w:bookmarkStart w:id="0" w:name="_Toc381193039"/>
      <w:bookmarkStart w:id="1" w:name="_Toc381199342"/>
      <w:bookmarkStart w:id="2" w:name="_Toc518733051"/>
      <w:r w:rsidRPr="009D45EA">
        <w:rPr>
          <w:rFonts w:ascii="Georgia" w:hAnsi="Georgia"/>
        </w:rPr>
        <w:t>R</w:t>
      </w:r>
      <w:r w:rsidR="009D45EA" w:rsidRPr="009D45EA">
        <w:rPr>
          <w:rFonts w:ascii="Georgia" w:hAnsi="Georgia"/>
        </w:rPr>
        <w:t>ESUME EXECUTIF</w:t>
      </w:r>
      <w:bookmarkEnd w:id="0"/>
      <w:bookmarkEnd w:id="1"/>
      <w:bookmarkEnd w:id="2"/>
    </w:p>
    <w:p w14:paraId="23E6D02E" w14:textId="77777777" w:rsidR="009D45EA" w:rsidRPr="009D45EA" w:rsidRDefault="009D45EA" w:rsidP="009D45EA">
      <w:pPr>
        <w:pStyle w:val="Titre2"/>
        <w:spacing w:before="0" w:after="160"/>
        <w:rPr>
          <w:rFonts w:ascii="Georgia" w:hAnsi="Georgia"/>
        </w:rPr>
      </w:pPr>
      <w:r w:rsidRPr="009D45EA">
        <w:rPr>
          <w:rFonts w:ascii="Georgia" w:hAnsi="Georgia"/>
        </w:rPr>
        <w:t>ETR RDC1015311 PEE</w:t>
      </w:r>
    </w:p>
    <w:p w14:paraId="68CD4987" w14:textId="77777777" w:rsidR="00DE5847" w:rsidRPr="009D45EA" w:rsidRDefault="009D45EA" w:rsidP="00DE58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40" w:lineRule="auto"/>
        <w:rPr>
          <w:rFonts w:cstheme="majorHAnsi"/>
          <w:color w:val="404040" w:themeColor="text1" w:themeTint="BF"/>
          <w:szCs w:val="21"/>
          <w:lang w:val="fr-FR" w:eastAsia="fr-FR"/>
        </w:rPr>
      </w:pPr>
      <w:r w:rsidRPr="009D45EA">
        <w:rPr>
          <w:rFonts w:cstheme="majorHAnsi"/>
          <w:color w:val="404040" w:themeColor="text1" w:themeTint="BF"/>
          <w:szCs w:val="21"/>
          <w:lang w:eastAsia="fr-FR"/>
        </w:rPr>
        <w:t xml:space="preserve"> </w:t>
      </w:r>
      <w:r w:rsidR="00DE5847" w:rsidRPr="009D45EA">
        <w:rPr>
          <w:rFonts w:cstheme="majorHAnsi"/>
          <w:color w:val="404040" w:themeColor="text1" w:themeTint="BF"/>
          <w:szCs w:val="21"/>
          <w:lang w:val="fr-FR" w:eastAsia="fr-FR"/>
        </w:rPr>
        <w:t xml:space="preserve">Le présent rapport porte sur la Revue finale du Programme d’Études et d’Expertises (PEE) mis en œuvre en RDC par ENABEL et par le Ministère de la Coopération Internationale et Régionale de novembre 2012 à juin 2018. </w:t>
      </w:r>
      <w:r w:rsidR="00DE5847" w:rsidRPr="009D45EA">
        <w:rPr>
          <w:rFonts w:cstheme="majorHAnsi"/>
          <w:color w:val="404040" w:themeColor="text1" w:themeTint="BF"/>
          <w:szCs w:val="21"/>
          <w:lang w:val="fr-FR"/>
        </w:rPr>
        <w:t>L’intervention, mentionnée dans le PIC 2010-2013, a pour objectif de financer des missions d’études et d’expertises en lien direct les trois secteurs de concentration et les approches thématiques transversales du PIC.</w:t>
      </w:r>
      <w:r w:rsidR="00DE5847" w:rsidRPr="009D45EA">
        <w:rPr>
          <w:rFonts w:cstheme="majorHAnsi"/>
          <w:color w:val="404040" w:themeColor="text1" w:themeTint="BF"/>
          <w:szCs w:val="21"/>
          <w:lang w:val="fr-FR" w:eastAsia="fr-FR"/>
        </w:rPr>
        <w:t xml:space="preserve"> </w:t>
      </w:r>
      <w:r w:rsidR="00DE5847" w:rsidRPr="009D45EA">
        <w:rPr>
          <w:rFonts w:eastAsia="Times New Roman" w:cstheme="majorHAnsi"/>
          <w:color w:val="404040" w:themeColor="text1" w:themeTint="BF"/>
          <w:szCs w:val="21"/>
          <w:lang w:val="fr-FR"/>
        </w:rPr>
        <w:t xml:space="preserve">La convention spécifique prend fin le 18 juillet 2018, mais la revue porte également sur l’opportunité et les conditions de succès d’une prolongation éventuelle de l’intervention. </w:t>
      </w:r>
    </w:p>
    <w:p w14:paraId="268AB190" w14:textId="77777777" w:rsidR="00DE5847" w:rsidRPr="009D45EA" w:rsidRDefault="00DE5847" w:rsidP="00DE5847">
      <w:pPr>
        <w:pStyle w:val="NormalWeb"/>
        <w:spacing w:beforeLines="20" w:before="48" w:beforeAutospacing="0"/>
        <w:rPr>
          <w:rFonts w:ascii="Georgia" w:hAnsi="Georgia" w:cstheme="majorHAnsi"/>
          <w:color w:val="404040" w:themeColor="text1" w:themeTint="BF"/>
          <w:sz w:val="21"/>
          <w:szCs w:val="21"/>
          <w:lang w:val="fr-FR"/>
        </w:rPr>
      </w:pPr>
      <w:r w:rsidRPr="009D45EA">
        <w:rPr>
          <w:rFonts w:ascii="Georgia" w:hAnsi="Georgia" w:cstheme="majorHAnsi"/>
          <w:color w:val="404040" w:themeColor="text1" w:themeTint="BF"/>
          <w:sz w:val="21"/>
          <w:szCs w:val="21"/>
          <w:lang w:val="fr-FR"/>
        </w:rPr>
        <w:t xml:space="preserve">Les objectifs de la revue sont l’analyse de la performance globale du programme basée sur les critères OCDE-DAC </w:t>
      </w:r>
      <w:r w:rsidRPr="009D45EA">
        <w:rPr>
          <w:rFonts w:ascii="Georgia" w:hAnsi="Georgia" w:cstheme="majorHAnsi"/>
          <w:i/>
          <w:color w:val="404040" w:themeColor="text1" w:themeTint="BF"/>
          <w:sz w:val="21"/>
          <w:szCs w:val="21"/>
          <w:lang w:val="fr-FR"/>
        </w:rPr>
        <w:t>(pertinence, efficience, efficacité, impact et durabilité)</w:t>
      </w:r>
      <w:r w:rsidRPr="009D45EA">
        <w:rPr>
          <w:rFonts w:ascii="Georgia" w:hAnsi="Georgia" w:cstheme="majorHAnsi"/>
          <w:color w:val="404040" w:themeColor="text1" w:themeTint="BF"/>
          <w:sz w:val="21"/>
          <w:szCs w:val="21"/>
          <w:lang w:val="fr-FR"/>
        </w:rPr>
        <w:t>, l’analyse des effets de l’ancrage institutionnel du PEE, l’examen de la plus-value du PEE dans la mise en œuvre du PIC ; l’examen des mécanismes, procédures et outils processus et l’examen des thématiques transversales genre et environnement. La question de la plus-value - actuelle et potentielle - d’une intervention de type PEE dans le cadre de la coopération belge en RDC est centrale ; elle est examinée tant sous l’angle du dialogue politique et du partenariat avec les institutions congolaises que celui du renforcement de la capacité de mise en œuvre du PIC et autres cadres de référence de la coopération.</w:t>
      </w:r>
    </w:p>
    <w:p w14:paraId="31CA9BE8" w14:textId="77777777" w:rsidR="00DE5847" w:rsidRPr="009D45EA" w:rsidRDefault="00DE5847" w:rsidP="00DE5847">
      <w:pPr>
        <w:spacing w:line="240" w:lineRule="auto"/>
        <w:rPr>
          <w:rFonts w:cstheme="majorHAnsi"/>
          <w:color w:val="404040" w:themeColor="text1" w:themeTint="BF"/>
          <w:szCs w:val="21"/>
          <w:lang w:val="fr-FR"/>
        </w:rPr>
      </w:pPr>
      <w:r w:rsidRPr="009D45EA">
        <w:rPr>
          <w:rFonts w:eastAsia="Times New Roman" w:cstheme="majorHAnsi"/>
          <w:color w:val="404040" w:themeColor="text1" w:themeTint="BF"/>
          <w:szCs w:val="21"/>
          <w:lang w:val="fr-FR"/>
        </w:rPr>
        <w:t>La méthodologie s’est adaptée à la particularité de ce programme transversal et multi-secteurs.</w:t>
      </w:r>
      <w:r w:rsidRPr="009D45EA">
        <w:rPr>
          <w:rFonts w:cstheme="majorHAnsi"/>
          <w:color w:val="404040" w:themeColor="text1" w:themeTint="BF"/>
          <w:szCs w:val="21"/>
          <w:lang w:val="fr-FR"/>
        </w:rPr>
        <w:t xml:space="preserve"> </w:t>
      </w:r>
      <w:r w:rsidRPr="009D45EA">
        <w:rPr>
          <w:rFonts w:cstheme="majorHAnsi"/>
          <w:color w:val="404040" w:themeColor="text1" w:themeTint="BF"/>
          <w:szCs w:val="21"/>
          <w:lang w:val="fr-BE"/>
        </w:rPr>
        <w:t>Le PEE intervenant essentiellement via la mise en œuvre d’études et expertises, son efficacité et son impact sont largement tributaires des résultats de ces initiatives, ce qui a nécessité une évaluation à 2 niveaux : le</w:t>
      </w:r>
      <w:r w:rsidRPr="009D45EA">
        <w:rPr>
          <w:rFonts w:eastAsia="SymbolMT" w:cstheme="majorHAnsi"/>
          <w:color w:val="404040" w:themeColor="text1" w:themeTint="BF"/>
          <w:szCs w:val="21"/>
          <w:lang w:val="fr-FR"/>
        </w:rPr>
        <w:t xml:space="preserve"> PEE d’une part et un échantillon d’initiatives d’autre part. </w:t>
      </w:r>
      <w:r w:rsidRPr="009D45EA">
        <w:rPr>
          <w:rFonts w:cstheme="majorHAnsi"/>
          <w:color w:val="404040" w:themeColor="text1" w:themeTint="BF"/>
          <w:szCs w:val="21"/>
          <w:lang w:val="fr-BE"/>
        </w:rPr>
        <w:t xml:space="preserve">Pour pallier aux faiblesses des mécanismes de monitoring et évaluation, la revue a procédé à la reconstruction de la théorie du changement, à une appréciation de la situation « ex-ante » et au </w:t>
      </w:r>
      <w:r w:rsidRPr="009D45EA">
        <w:rPr>
          <w:rFonts w:cstheme="majorHAnsi"/>
          <w:color w:val="404040" w:themeColor="text1" w:themeTint="BF"/>
          <w:szCs w:val="21"/>
          <w:lang w:val="fr-FR"/>
        </w:rPr>
        <w:t xml:space="preserve">développement d’une liste de plus-values potentielles du PEE. Les méthodes utilisées pour la collecte des données sont la revue documentaire, les interview et entretiens individuels, les échanges courriels et le questionnaire écrit. </w:t>
      </w:r>
    </w:p>
    <w:p w14:paraId="44CBEEC5" w14:textId="77777777" w:rsidR="00DE5847" w:rsidRPr="009D45EA" w:rsidRDefault="00DE5847" w:rsidP="00DE5847">
      <w:pPr>
        <w:keepNext/>
        <w:tabs>
          <w:tab w:val="left" w:pos="3706"/>
        </w:tabs>
        <w:spacing w:line="240" w:lineRule="auto"/>
        <w:rPr>
          <w:rFonts w:cstheme="majorHAnsi"/>
          <w:b/>
          <w:szCs w:val="21"/>
          <w:lang w:val="fr-FR"/>
        </w:rPr>
      </w:pPr>
      <w:r w:rsidRPr="009D45EA">
        <w:rPr>
          <w:rFonts w:cstheme="majorHAnsi"/>
          <w:b/>
          <w:szCs w:val="21"/>
          <w:lang w:val="fr-FR"/>
        </w:rPr>
        <w:t xml:space="preserve">Aperçu récapitulatif des </w:t>
      </w:r>
      <w:r w:rsidRPr="009D45EA">
        <w:rPr>
          <w:rFonts w:cstheme="majorHAnsi"/>
          <w:b/>
          <w:szCs w:val="21"/>
          <w:u w:val="single"/>
          <w:lang w:val="fr-FR"/>
        </w:rPr>
        <w:t>scores</w:t>
      </w:r>
      <w:r w:rsidRPr="009D45EA">
        <w:rPr>
          <w:rStyle w:val="Appelnotedebasdep"/>
          <w:rFonts w:cstheme="majorHAnsi"/>
          <w:b/>
          <w:szCs w:val="21"/>
          <w:u w:val="single"/>
          <w:lang w:val="fr-FR"/>
        </w:rPr>
        <w:footnoteReference w:id="1"/>
      </w:r>
      <w:r w:rsidRPr="009D45EA">
        <w:rPr>
          <w:rFonts w:cstheme="majorHAnsi"/>
          <w:b/>
          <w:szCs w:val="21"/>
          <w:lang w:val="fr-FR"/>
        </w:rPr>
        <w:t xml:space="preserve"> accordées aux </w:t>
      </w:r>
      <w:r w:rsidRPr="009D45EA">
        <w:rPr>
          <w:rFonts w:cstheme="majorHAnsi"/>
          <w:b/>
          <w:szCs w:val="21"/>
          <w:u w:val="single"/>
          <w:lang w:val="fr-FR"/>
        </w:rPr>
        <w:t xml:space="preserve">critères d’évaluation DAC </w:t>
      </w:r>
    </w:p>
    <w:tbl>
      <w:tblPr>
        <w:tblW w:w="8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4957"/>
        <w:gridCol w:w="841"/>
        <w:gridCol w:w="841"/>
        <w:gridCol w:w="841"/>
        <w:gridCol w:w="841"/>
      </w:tblGrid>
      <w:tr w:rsidR="00DE5847" w:rsidRPr="009D45EA" w14:paraId="0D49E3AD" w14:textId="77777777" w:rsidTr="006361D6">
        <w:trPr>
          <w:trHeight w:val="300"/>
        </w:trPr>
        <w:tc>
          <w:tcPr>
            <w:tcW w:w="4957" w:type="dxa"/>
            <w:tcBorders>
              <w:bottom w:val="single" w:sz="4" w:space="0" w:color="000000"/>
            </w:tcBorders>
            <w:shd w:val="clear" w:color="auto" w:fill="FFFFFF" w:themeFill="background1"/>
            <w:vAlign w:val="center"/>
          </w:tcPr>
          <w:p w14:paraId="5E93CD16" w14:textId="77777777" w:rsidR="00DE5847" w:rsidRPr="009D45EA" w:rsidRDefault="00DE5847" w:rsidP="006361D6">
            <w:pPr>
              <w:keepNext/>
              <w:spacing w:before="40" w:after="40" w:line="240" w:lineRule="auto"/>
              <w:ind w:left="360"/>
              <w:rPr>
                <w:rFonts w:cstheme="majorHAnsi"/>
                <w:b/>
                <w:szCs w:val="21"/>
                <w:lang w:val="fr-FR"/>
              </w:rPr>
            </w:pPr>
          </w:p>
        </w:tc>
        <w:tc>
          <w:tcPr>
            <w:tcW w:w="841" w:type="dxa"/>
            <w:tcBorders>
              <w:bottom w:val="single" w:sz="4" w:space="0" w:color="000000"/>
            </w:tcBorders>
            <w:shd w:val="clear" w:color="auto" w:fill="FFFFFF" w:themeFill="background1"/>
            <w:vAlign w:val="center"/>
          </w:tcPr>
          <w:p w14:paraId="672FB6CE" w14:textId="77777777" w:rsidR="00DE5847" w:rsidRPr="009D45EA" w:rsidRDefault="00DE5847" w:rsidP="006361D6">
            <w:pPr>
              <w:keepNext/>
              <w:snapToGrid w:val="0"/>
              <w:spacing w:before="40" w:after="40" w:line="240" w:lineRule="auto"/>
              <w:jc w:val="center"/>
              <w:rPr>
                <w:rFonts w:cstheme="majorHAnsi"/>
                <w:b/>
                <w:szCs w:val="21"/>
                <w:lang w:val="fr-FR"/>
              </w:rPr>
            </w:pPr>
            <w:r w:rsidRPr="009D45EA">
              <w:rPr>
                <w:rFonts w:cstheme="majorHAnsi"/>
                <w:b/>
                <w:szCs w:val="21"/>
                <w:lang w:val="fr-FR"/>
              </w:rPr>
              <w:t>A</w:t>
            </w:r>
          </w:p>
        </w:tc>
        <w:tc>
          <w:tcPr>
            <w:tcW w:w="841" w:type="dxa"/>
            <w:tcBorders>
              <w:bottom w:val="single" w:sz="4" w:space="0" w:color="000000"/>
            </w:tcBorders>
            <w:shd w:val="clear" w:color="auto" w:fill="FFFFFF" w:themeFill="background1"/>
            <w:vAlign w:val="center"/>
          </w:tcPr>
          <w:p w14:paraId="2C84F9AB" w14:textId="77777777" w:rsidR="00DE5847" w:rsidRPr="009D45EA" w:rsidRDefault="00DE5847" w:rsidP="006361D6">
            <w:pPr>
              <w:keepNext/>
              <w:snapToGrid w:val="0"/>
              <w:spacing w:before="40" w:after="40" w:line="240" w:lineRule="auto"/>
              <w:jc w:val="center"/>
              <w:rPr>
                <w:rFonts w:cstheme="majorHAnsi"/>
                <w:b/>
                <w:szCs w:val="21"/>
                <w:lang w:val="fr-FR"/>
              </w:rPr>
            </w:pPr>
            <w:r w:rsidRPr="009D45EA">
              <w:rPr>
                <w:rFonts w:cstheme="majorHAnsi"/>
                <w:b/>
                <w:szCs w:val="21"/>
                <w:lang w:val="fr-FR"/>
              </w:rPr>
              <w:t>B</w:t>
            </w:r>
          </w:p>
        </w:tc>
        <w:tc>
          <w:tcPr>
            <w:tcW w:w="841" w:type="dxa"/>
            <w:tcBorders>
              <w:bottom w:val="single" w:sz="4" w:space="0" w:color="000000"/>
            </w:tcBorders>
            <w:shd w:val="clear" w:color="auto" w:fill="FFFFFF" w:themeFill="background1"/>
            <w:vAlign w:val="center"/>
          </w:tcPr>
          <w:p w14:paraId="046AE021" w14:textId="77777777" w:rsidR="00DE5847" w:rsidRPr="009D45EA" w:rsidRDefault="00DE5847" w:rsidP="006361D6">
            <w:pPr>
              <w:keepNext/>
              <w:snapToGrid w:val="0"/>
              <w:spacing w:before="40" w:after="40" w:line="240" w:lineRule="auto"/>
              <w:jc w:val="center"/>
              <w:rPr>
                <w:rFonts w:cstheme="majorHAnsi"/>
                <w:b/>
                <w:szCs w:val="21"/>
                <w:lang w:val="fr-FR"/>
              </w:rPr>
            </w:pPr>
            <w:r w:rsidRPr="009D45EA">
              <w:rPr>
                <w:rFonts w:cstheme="majorHAnsi"/>
                <w:b/>
                <w:szCs w:val="21"/>
                <w:lang w:val="fr-FR"/>
              </w:rPr>
              <w:t>C</w:t>
            </w:r>
          </w:p>
        </w:tc>
        <w:tc>
          <w:tcPr>
            <w:tcW w:w="841" w:type="dxa"/>
            <w:tcBorders>
              <w:bottom w:val="single" w:sz="4" w:space="0" w:color="000000"/>
            </w:tcBorders>
            <w:shd w:val="clear" w:color="auto" w:fill="FFFFFF" w:themeFill="background1"/>
            <w:vAlign w:val="center"/>
          </w:tcPr>
          <w:p w14:paraId="1324FEA6" w14:textId="77777777" w:rsidR="00DE5847" w:rsidRPr="009D45EA" w:rsidRDefault="00DE5847" w:rsidP="006361D6">
            <w:pPr>
              <w:keepNext/>
              <w:snapToGrid w:val="0"/>
              <w:spacing w:before="40" w:after="40" w:line="240" w:lineRule="auto"/>
              <w:jc w:val="center"/>
              <w:rPr>
                <w:rFonts w:cstheme="majorHAnsi"/>
                <w:b/>
                <w:szCs w:val="21"/>
                <w:lang w:val="fr-FR"/>
              </w:rPr>
            </w:pPr>
            <w:r w:rsidRPr="009D45EA">
              <w:rPr>
                <w:rFonts w:cstheme="majorHAnsi"/>
                <w:b/>
                <w:szCs w:val="21"/>
                <w:lang w:val="fr-FR"/>
              </w:rPr>
              <w:t>D</w:t>
            </w:r>
          </w:p>
        </w:tc>
      </w:tr>
      <w:tr w:rsidR="00DE5847" w:rsidRPr="009D45EA" w14:paraId="7496E150" w14:textId="77777777" w:rsidTr="006361D6">
        <w:trPr>
          <w:trHeight w:val="300"/>
        </w:trPr>
        <w:tc>
          <w:tcPr>
            <w:tcW w:w="4957" w:type="dxa"/>
            <w:shd w:val="clear" w:color="auto" w:fill="E2EFD9" w:themeFill="accent6" w:themeFillTint="33"/>
            <w:vAlign w:val="center"/>
          </w:tcPr>
          <w:p w14:paraId="66B00E41" w14:textId="77777777" w:rsidR="00DE5847" w:rsidRPr="009D45EA" w:rsidRDefault="00DE5847" w:rsidP="006361D6">
            <w:pPr>
              <w:snapToGrid w:val="0"/>
              <w:spacing w:after="0" w:line="240" w:lineRule="auto"/>
              <w:rPr>
                <w:rFonts w:cstheme="majorHAnsi"/>
                <w:szCs w:val="21"/>
                <w:lang w:val="fr-FR"/>
              </w:rPr>
            </w:pPr>
            <w:r w:rsidRPr="009D45EA">
              <w:rPr>
                <w:rFonts w:cstheme="majorHAnsi"/>
                <w:szCs w:val="21"/>
                <w:lang w:val="fr-FR"/>
              </w:rPr>
              <w:t>Pertinence potentielle du PEE : A/B</w:t>
            </w:r>
          </w:p>
        </w:tc>
        <w:tc>
          <w:tcPr>
            <w:tcW w:w="841" w:type="dxa"/>
            <w:shd w:val="clear" w:color="auto" w:fill="E2EFD9" w:themeFill="accent6" w:themeFillTint="33"/>
            <w:vAlign w:val="center"/>
          </w:tcPr>
          <w:p w14:paraId="0B1FCC7A" w14:textId="77777777" w:rsidR="00DE5847" w:rsidRPr="009D45EA" w:rsidRDefault="00DE5847" w:rsidP="006361D6">
            <w:pPr>
              <w:snapToGrid w:val="0"/>
              <w:spacing w:after="0" w:line="240" w:lineRule="auto"/>
              <w:jc w:val="center"/>
              <w:rPr>
                <w:rFonts w:cstheme="majorHAnsi"/>
                <w:b/>
                <w:szCs w:val="21"/>
                <w:lang w:val="fr-FR"/>
              </w:rPr>
            </w:pPr>
          </w:p>
        </w:tc>
        <w:tc>
          <w:tcPr>
            <w:tcW w:w="841" w:type="dxa"/>
            <w:shd w:val="clear" w:color="auto" w:fill="E2EFD9" w:themeFill="accent6" w:themeFillTint="33"/>
            <w:vAlign w:val="center"/>
          </w:tcPr>
          <w:p w14:paraId="5DF41745" w14:textId="77777777" w:rsidR="00DE5847" w:rsidRPr="009D45EA" w:rsidRDefault="00DE5847" w:rsidP="006361D6">
            <w:pPr>
              <w:snapToGrid w:val="0"/>
              <w:spacing w:after="0" w:line="240" w:lineRule="auto"/>
              <w:jc w:val="center"/>
              <w:rPr>
                <w:rFonts w:cstheme="majorHAnsi"/>
                <w:b/>
                <w:szCs w:val="21"/>
                <w:lang w:val="fr-FR"/>
              </w:rPr>
            </w:pPr>
            <w:r w:rsidRPr="009D45EA">
              <w:rPr>
                <w:rFonts w:cstheme="majorHAnsi"/>
                <w:b/>
                <w:szCs w:val="21"/>
                <w:lang w:val="fr-FR"/>
              </w:rPr>
              <w:t>B+</w:t>
            </w:r>
          </w:p>
        </w:tc>
        <w:tc>
          <w:tcPr>
            <w:tcW w:w="841" w:type="dxa"/>
            <w:shd w:val="clear" w:color="auto" w:fill="E2EFD9" w:themeFill="accent6" w:themeFillTint="33"/>
            <w:vAlign w:val="center"/>
          </w:tcPr>
          <w:p w14:paraId="782D9FAF" w14:textId="77777777" w:rsidR="00DE5847" w:rsidRPr="009D45EA" w:rsidRDefault="00DE5847" w:rsidP="006361D6">
            <w:pPr>
              <w:snapToGrid w:val="0"/>
              <w:spacing w:after="0" w:line="240" w:lineRule="auto"/>
              <w:jc w:val="center"/>
              <w:rPr>
                <w:rFonts w:cstheme="majorHAnsi"/>
                <w:b/>
                <w:szCs w:val="21"/>
                <w:lang w:val="fr-FR"/>
              </w:rPr>
            </w:pPr>
          </w:p>
        </w:tc>
        <w:tc>
          <w:tcPr>
            <w:tcW w:w="841" w:type="dxa"/>
            <w:shd w:val="clear" w:color="auto" w:fill="E2EFD9" w:themeFill="accent6" w:themeFillTint="33"/>
            <w:vAlign w:val="center"/>
          </w:tcPr>
          <w:p w14:paraId="0953F2D1" w14:textId="77777777" w:rsidR="00DE5847" w:rsidRPr="009D45EA" w:rsidRDefault="00DE5847" w:rsidP="006361D6">
            <w:pPr>
              <w:snapToGrid w:val="0"/>
              <w:spacing w:after="0" w:line="240" w:lineRule="auto"/>
              <w:jc w:val="center"/>
              <w:rPr>
                <w:rFonts w:cstheme="majorHAnsi"/>
                <w:b/>
                <w:szCs w:val="21"/>
                <w:lang w:val="fr-FR"/>
              </w:rPr>
            </w:pPr>
          </w:p>
        </w:tc>
      </w:tr>
      <w:tr w:rsidR="00DE5847" w:rsidRPr="009D45EA" w14:paraId="2C287EC9" w14:textId="77777777" w:rsidTr="006361D6">
        <w:trPr>
          <w:trHeight w:val="300"/>
        </w:trPr>
        <w:tc>
          <w:tcPr>
            <w:tcW w:w="4957" w:type="dxa"/>
            <w:shd w:val="clear" w:color="auto" w:fill="FBE4D5" w:themeFill="accent2" w:themeFillTint="33"/>
            <w:vAlign w:val="center"/>
          </w:tcPr>
          <w:p w14:paraId="5B4EAC67" w14:textId="77777777" w:rsidR="00DE5847" w:rsidRPr="009D45EA" w:rsidRDefault="00DE5847" w:rsidP="006361D6">
            <w:pPr>
              <w:snapToGrid w:val="0"/>
              <w:spacing w:after="0" w:line="240" w:lineRule="auto"/>
              <w:rPr>
                <w:rFonts w:cstheme="majorHAnsi"/>
                <w:szCs w:val="21"/>
                <w:lang w:val="fr-FR"/>
              </w:rPr>
            </w:pPr>
            <w:r w:rsidRPr="009D45EA">
              <w:rPr>
                <w:rFonts w:cstheme="majorHAnsi"/>
                <w:szCs w:val="21"/>
                <w:lang w:val="fr-FR"/>
              </w:rPr>
              <w:t>Pertinence démontrée : C</w:t>
            </w:r>
          </w:p>
        </w:tc>
        <w:tc>
          <w:tcPr>
            <w:tcW w:w="841" w:type="dxa"/>
            <w:shd w:val="clear" w:color="auto" w:fill="FBE4D5" w:themeFill="accent2" w:themeFillTint="33"/>
            <w:vAlign w:val="center"/>
          </w:tcPr>
          <w:p w14:paraId="7438CC72" w14:textId="77777777" w:rsidR="00DE5847" w:rsidRPr="009D45EA" w:rsidRDefault="00DE5847" w:rsidP="006361D6">
            <w:pPr>
              <w:snapToGrid w:val="0"/>
              <w:spacing w:after="0" w:line="240" w:lineRule="auto"/>
              <w:jc w:val="center"/>
              <w:rPr>
                <w:rFonts w:cstheme="majorHAnsi"/>
                <w:b/>
                <w:szCs w:val="21"/>
                <w:lang w:val="fr-FR"/>
              </w:rPr>
            </w:pPr>
          </w:p>
        </w:tc>
        <w:tc>
          <w:tcPr>
            <w:tcW w:w="841" w:type="dxa"/>
            <w:shd w:val="clear" w:color="auto" w:fill="FBE4D5" w:themeFill="accent2" w:themeFillTint="33"/>
            <w:vAlign w:val="center"/>
          </w:tcPr>
          <w:p w14:paraId="42083A3C" w14:textId="77777777" w:rsidR="00DE5847" w:rsidRPr="009D45EA" w:rsidRDefault="00DE5847" w:rsidP="006361D6">
            <w:pPr>
              <w:snapToGrid w:val="0"/>
              <w:spacing w:after="0" w:line="240" w:lineRule="auto"/>
              <w:jc w:val="center"/>
              <w:rPr>
                <w:rFonts w:cstheme="majorHAnsi"/>
                <w:b/>
                <w:szCs w:val="21"/>
                <w:lang w:val="fr-FR"/>
              </w:rPr>
            </w:pPr>
          </w:p>
        </w:tc>
        <w:tc>
          <w:tcPr>
            <w:tcW w:w="841" w:type="dxa"/>
            <w:shd w:val="clear" w:color="auto" w:fill="FBE4D5" w:themeFill="accent2" w:themeFillTint="33"/>
            <w:vAlign w:val="center"/>
          </w:tcPr>
          <w:p w14:paraId="50AEDD59" w14:textId="77777777" w:rsidR="00DE5847" w:rsidRPr="009D45EA" w:rsidRDefault="00DE5847" w:rsidP="006361D6">
            <w:pPr>
              <w:snapToGrid w:val="0"/>
              <w:spacing w:after="0" w:line="240" w:lineRule="auto"/>
              <w:jc w:val="center"/>
              <w:rPr>
                <w:rFonts w:cstheme="majorHAnsi"/>
                <w:b/>
                <w:szCs w:val="21"/>
                <w:lang w:val="fr-FR"/>
              </w:rPr>
            </w:pPr>
            <w:r w:rsidRPr="009D45EA">
              <w:rPr>
                <w:rFonts w:cstheme="majorHAnsi"/>
                <w:b/>
                <w:szCs w:val="21"/>
                <w:lang w:val="fr-FR"/>
              </w:rPr>
              <w:t>C</w:t>
            </w:r>
          </w:p>
        </w:tc>
        <w:tc>
          <w:tcPr>
            <w:tcW w:w="841" w:type="dxa"/>
            <w:shd w:val="clear" w:color="auto" w:fill="FBE4D5" w:themeFill="accent2" w:themeFillTint="33"/>
            <w:vAlign w:val="center"/>
          </w:tcPr>
          <w:p w14:paraId="5F6E7918" w14:textId="77777777" w:rsidR="00DE5847" w:rsidRPr="009D45EA" w:rsidRDefault="00DE5847" w:rsidP="006361D6">
            <w:pPr>
              <w:snapToGrid w:val="0"/>
              <w:spacing w:after="0" w:line="240" w:lineRule="auto"/>
              <w:jc w:val="center"/>
              <w:rPr>
                <w:rFonts w:cstheme="majorHAnsi"/>
                <w:b/>
                <w:szCs w:val="21"/>
                <w:lang w:val="fr-FR"/>
              </w:rPr>
            </w:pPr>
          </w:p>
        </w:tc>
      </w:tr>
      <w:tr w:rsidR="00DE5847" w:rsidRPr="009D45EA" w14:paraId="78E1D8DF" w14:textId="77777777" w:rsidTr="006361D6">
        <w:trPr>
          <w:trHeight w:val="300"/>
        </w:trPr>
        <w:tc>
          <w:tcPr>
            <w:tcW w:w="495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2894C288" w14:textId="77777777" w:rsidR="00DE5847" w:rsidRPr="009D45EA" w:rsidRDefault="00DE5847" w:rsidP="006361D6">
            <w:pPr>
              <w:snapToGrid w:val="0"/>
              <w:spacing w:after="0" w:line="240" w:lineRule="auto"/>
              <w:rPr>
                <w:rFonts w:cstheme="majorHAnsi"/>
                <w:szCs w:val="21"/>
                <w:lang w:val="fr-FR"/>
              </w:rPr>
            </w:pPr>
            <w:r w:rsidRPr="009D45EA">
              <w:rPr>
                <w:rFonts w:cstheme="majorHAnsi"/>
                <w:szCs w:val="21"/>
                <w:lang w:val="fr-FR"/>
              </w:rPr>
              <w:t>Efficience potentielle : B</w:t>
            </w:r>
          </w:p>
        </w:tc>
        <w:tc>
          <w:tcPr>
            <w:tcW w:w="84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6DF7A941" w14:textId="77777777" w:rsidR="00DE5847" w:rsidRPr="009D45EA" w:rsidRDefault="00DE5847" w:rsidP="006361D6">
            <w:pPr>
              <w:snapToGrid w:val="0"/>
              <w:spacing w:after="0" w:line="240" w:lineRule="auto"/>
              <w:jc w:val="center"/>
              <w:rPr>
                <w:rFonts w:cstheme="majorHAnsi"/>
                <w:b/>
                <w:szCs w:val="21"/>
                <w:lang w:val="fr-FR"/>
              </w:rPr>
            </w:pPr>
          </w:p>
        </w:tc>
        <w:tc>
          <w:tcPr>
            <w:tcW w:w="84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51251840" w14:textId="77777777" w:rsidR="00DE5847" w:rsidRPr="009D45EA" w:rsidRDefault="00DE5847" w:rsidP="006361D6">
            <w:pPr>
              <w:snapToGrid w:val="0"/>
              <w:spacing w:after="0" w:line="240" w:lineRule="auto"/>
              <w:jc w:val="center"/>
              <w:rPr>
                <w:rFonts w:cstheme="majorHAnsi"/>
                <w:b/>
                <w:szCs w:val="21"/>
                <w:lang w:val="fr-FR"/>
              </w:rPr>
            </w:pPr>
            <w:r w:rsidRPr="009D45EA">
              <w:rPr>
                <w:rFonts w:cstheme="majorHAnsi"/>
                <w:b/>
                <w:szCs w:val="21"/>
                <w:lang w:val="fr-FR"/>
              </w:rPr>
              <w:t>B</w:t>
            </w:r>
          </w:p>
        </w:tc>
        <w:tc>
          <w:tcPr>
            <w:tcW w:w="84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17202FFC" w14:textId="77777777" w:rsidR="00DE5847" w:rsidRPr="009D45EA" w:rsidRDefault="00DE5847" w:rsidP="006361D6">
            <w:pPr>
              <w:snapToGrid w:val="0"/>
              <w:spacing w:after="0" w:line="240" w:lineRule="auto"/>
              <w:jc w:val="center"/>
              <w:rPr>
                <w:rFonts w:cstheme="majorHAnsi"/>
                <w:b/>
                <w:szCs w:val="21"/>
                <w:lang w:val="fr-FR"/>
              </w:rPr>
            </w:pPr>
          </w:p>
        </w:tc>
        <w:tc>
          <w:tcPr>
            <w:tcW w:w="84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48DD9D21" w14:textId="77777777" w:rsidR="00DE5847" w:rsidRPr="009D45EA" w:rsidRDefault="00DE5847" w:rsidP="006361D6">
            <w:pPr>
              <w:snapToGrid w:val="0"/>
              <w:spacing w:after="0" w:line="240" w:lineRule="auto"/>
              <w:jc w:val="center"/>
              <w:rPr>
                <w:rFonts w:cstheme="majorHAnsi"/>
                <w:b/>
                <w:szCs w:val="21"/>
                <w:lang w:val="fr-FR"/>
              </w:rPr>
            </w:pPr>
          </w:p>
        </w:tc>
      </w:tr>
      <w:tr w:rsidR="00DE5847" w:rsidRPr="009D45EA" w14:paraId="6F519949" w14:textId="77777777" w:rsidTr="006361D6">
        <w:trPr>
          <w:trHeight w:val="300"/>
        </w:trPr>
        <w:tc>
          <w:tcPr>
            <w:tcW w:w="495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0B49D3B5" w14:textId="77777777" w:rsidR="00DE5847" w:rsidRPr="009D45EA" w:rsidRDefault="00DE5847" w:rsidP="006361D6">
            <w:pPr>
              <w:snapToGrid w:val="0"/>
              <w:spacing w:after="0" w:line="240" w:lineRule="auto"/>
              <w:rPr>
                <w:rFonts w:cstheme="majorHAnsi"/>
                <w:szCs w:val="21"/>
                <w:lang w:val="fr-FR"/>
              </w:rPr>
            </w:pPr>
            <w:r w:rsidRPr="009D45EA">
              <w:rPr>
                <w:rFonts w:cstheme="majorHAnsi"/>
                <w:szCs w:val="21"/>
                <w:lang w:val="fr-FR"/>
              </w:rPr>
              <w:t>Efficience démontrée : C</w:t>
            </w:r>
          </w:p>
        </w:tc>
        <w:tc>
          <w:tcPr>
            <w:tcW w:w="84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2A4B816D" w14:textId="77777777" w:rsidR="00DE5847" w:rsidRPr="009D45EA" w:rsidRDefault="00DE5847" w:rsidP="006361D6">
            <w:pPr>
              <w:snapToGrid w:val="0"/>
              <w:spacing w:after="0" w:line="240" w:lineRule="auto"/>
              <w:jc w:val="center"/>
              <w:rPr>
                <w:rFonts w:cstheme="majorHAnsi"/>
                <w:b/>
                <w:szCs w:val="21"/>
                <w:lang w:val="fr-FR"/>
              </w:rPr>
            </w:pPr>
          </w:p>
        </w:tc>
        <w:tc>
          <w:tcPr>
            <w:tcW w:w="84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2DB0EEB1" w14:textId="77777777" w:rsidR="00DE5847" w:rsidRPr="009D45EA" w:rsidRDefault="00DE5847" w:rsidP="006361D6">
            <w:pPr>
              <w:snapToGrid w:val="0"/>
              <w:spacing w:after="0" w:line="240" w:lineRule="auto"/>
              <w:jc w:val="center"/>
              <w:rPr>
                <w:rFonts w:cstheme="majorHAnsi"/>
                <w:b/>
                <w:szCs w:val="21"/>
                <w:lang w:val="fr-FR"/>
              </w:rPr>
            </w:pPr>
          </w:p>
        </w:tc>
        <w:tc>
          <w:tcPr>
            <w:tcW w:w="84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77C1C9B3" w14:textId="77777777" w:rsidR="00DE5847" w:rsidRPr="009D45EA" w:rsidRDefault="00DE5847" w:rsidP="006361D6">
            <w:pPr>
              <w:snapToGrid w:val="0"/>
              <w:spacing w:after="0" w:line="240" w:lineRule="auto"/>
              <w:jc w:val="center"/>
              <w:rPr>
                <w:rFonts w:cstheme="majorHAnsi"/>
                <w:b/>
                <w:szCs w:val="21"/>
                <w:lang w:val="fr-FR"/>
              </w:rPr>
            </w:pPr>
            <w:r w:rsidRPr="009D45EA">
              <w:rPr>
                <w:rFonts w:cstheme="majorHAnsi"/>
                <w:b/>
                <w:szCs w:val="21"/>
                <w:lang w:val="fr-FR"/>
              </w:rPr>
              <w:t>C</w:t>
            </w:r>
          </w:p>
        </w:tc>
        <w:tc>
          <w:tcPr>
            <w:tcW w:w="84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6063CA37" w14:textId="77777777" w:rsidR="00DE5847" w:rsidRPr="009D45EA" w:rsidRDefault="00DE5847" w:rsidP="006361D6">
            <w:pPr>
              <w:snapToGrid w:val="0"/>
              <w:spacing w:after="0" w:line="240" w:lineRule="auto"/>
              <w:jc w:val="center"/>
              <w:rPr>
                <w:rFonts w:cstheme="majorHAnsi"/>
                <w:b/>
                <w:szCs w:val="21"/>
                <w:lang w:val="fr-FR"/>
              </w:rPr>
            </w:pPr>
          </w:p>
        </w:tc>
      </w:tr>
      <w:tr w:rsidR="00DE5847" w:rsidRPr="009D45EA" w14:paraId="5B297D5D" w14:textId="77777777" w:rsidTr="006361D6">
        <w:trPr>
          <w:trHeight w:val="300"/>
        </w:trPr>
        <w:tc>
          <w:tcPr>
            <w:tcW w:w="495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287288A5" w14:textId="77777777" w:rsidR="00DE5847" w:rsidRPr="009D45EA" w:rsidRDefault="00DE5847" w:rsidP="006361D6">
            <w:pPr>
              <w:snapToGrid w:val="0"/>
              <w:spacing w:after="0" w:line="240" w:lineRule="auto"/>
              <w:rPr>
                <w:rFonts w:cstheme="majorHAnsi"/>
                <w:szCs w:val="21"/>
                <w:lang w:val="fr-FR"/>
              </w:rPr>
            </w:pPr>
            <w:r w:rsidRPr="009D45EA">
              <w:rPr>
                <w:rFonts w:cstheme="majorHAnsi"/>
                <w:szCs w:val="21"/>
                <w:lang w:val="fr-FR"/>
              </w:rPr>
              <w:t>Efficacité potentielle : A/B</w:t>
            </w:r>
          </w:p>
        </w:tc>
        <w:tc>
          <w:tcPr>
            <w:tcW w:w="84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4CF0F6FC" w14:textId="77777777" w:rsidR="00DE5847" w:rsidRPr="009D45EA" w:rsidRDefault="00DE5847" w:rsidP="006361D6">
            <w:pPr>
              <w:snapToGrid w:val="0"/>
              <w:spacing w:after="0" w:line="240" w:lineRule="auto"/>
              <w:jc w:val="center"/>
              <w:rPr>
                <w:rFonts w:cstheme="majorHAnsi"/>
                <w:b/>
                <w:szCs w:val="21"/>
                <w:lang w:val="fr-FR"/>
              </w:rPr>
            </w:pPr>
          </w:p>
        </w:tc>
        <w:tc>
          <w:tcPr>
            <w:tcW w:w="84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5340019B" w14:textId="77777777" w:rsidR="00DE5847" w:rsidRPr="009D45EA" w:rsidRDefault="00DE5847" w:rsidP="006361D6">
            <w:pPr>
              <w:snapToGrid w:val="0"/>
              <w:spacing w:after="0" w:line="240" w:lineRule="auto"/>
              <w:jc w:val="center"/>
              <w:rPr>
                <w:rFonts w:cstheme="majorHAnsi"/>
                <w:b/>
                <w:szCs w:val="21"/>
                <w:lang w:val="fr-FR"/>
              </w:rPr>
            </w:pPr>
            <w:r w:rsidRPr="009D45EA">
              <w:rPr>
                <w:rFonts w:cstheme="majorHAnsi"/>
                <w:b/>
                <w:szCs w:val="21"/>
                <w:lang w:val="fr-FR"/>
              </w:rPr>
              <w:t>B+</w:t>
            </w:r>
          </w:p>
        </w:tc>
        <w:tc>
          <w:tcPr>
            <w:tcW w:w="84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598A6BE7" w14:textId="77777777" w:rsidR="00DE5847" w:rsidRPr="009D45EA" w:rsidRDefault="00DE5847" w:rsidP="006361D6">
            <w:pPr>
              <w:snapToGrid w:val="0"/>
              <w:spacing w:after="0" w:line="240" w:lineRule="auto"/>
              <w:jc w:val="center"/>
              <w:rPr>
                <w:rFonts w:cstheme="majorHAnsi"/>
                <w:b/>
                <w:szCs w:val="21"/>
                <w:lang w:val="fr-FR"/>
              </w:rPr>
            </w:pPr>
          </w:p>
        </w:tc>
        <w:tc>
          <w:tcPr>
            <w:tcW w:w="84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2E5A5988" w14:textId="77777777" w:rsidR="00DE5847" w:rsidRPr="009D45EA" w:rsidRDefault="00DE5847" w:rsidP="006361D6">
            <w:pPr>
              <w:snapToGrid w:val="0"/>
              <w:spacing w:after="0" w:line="240" w:lineRule="auto"/>
              <w:jc w:val="center"/>
              <w:rPr>
                <w:rFonts w:cstheme="majorHAnsi"/>
                <w:b/>
                <w:szCs w:val="21"/>
                <w:lang w:val="fr-FR"/>
              </w:rPr>
            </w:pPr>
          </w:p>
        </w:tc>
      </w:tr>
      <w:tr w:rsidR="00DE5847" w:rsidRPr="009D45EA" w14:paraId="54632779" w14:textId="77777777" w:rsidTr="006361D6">
        <w:trPr>
          <w:trHeight w:val="300"/>
        </w:trPr>
        <w:tc>
          <w:tcPr>
            <w:tcW w:w="495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61BB3326" w14:textId="77777777" w:rsidR="00DE5847" w:rsidRPr="009D45EA" w:rsidRDefault="00DE5847" w:rsidP="006361D6">
            <w:pPr>
              <w:snapToGrid w:val="0"/>
              <w:spacing w:after="0" w:line="240" w:lineRule="auto"/>
              <w:rPr>
                <w:rFonts w:cstheme="majorHAnsi"/>
                <w:szCs w:val="21"/>
                <w:lang w:val="fr-FR"/>
              </w:rPr>
            </w:pPr>
            <w:r w:rsidRPr="009D45EA">
              <w:rPr>
                <w:rFonts w:cstheme="majorHAnsi"/>
                <w:szCs w:val="21"/>
                <w:lang w:val="fr-FR"/>
              </w:rPr>
              <w:t>Efficacité obtenue : C-</w:t>
            </w:r>
          </w:p>
        </w:tc>
        <w:tc>
          <w:tcPr>
            <w:tcW w:w="84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65A614E4" w14:textId="77777777" w:rsidR="00DE5847" w:rsidRPr="009D45EA" w:rsidRDefault="00DE5847" w:rsidP="006361D6">
            <w:pPr>
              <w:snapToGrid w:val="0"/>
              <w:spacing w:after="0" w:line="240" w:lineRule="auto"/>
              <w:jc w:val="center"/>
              <w:rPr>
                <w:rFonts w:cstheme="majorHAnsi"/>
                <w:b/>
                <w:szCs w:val="21"/>
                <w:lang w:val="fr-FR"/>
              </w:rPr>
            </w:pPr>
          </w:p>
        </w:tc>
        <w:tc>
          <w:tcPr>
            <w:tcW w:w="84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2F7C51BC" w14:textId="77777777" w:rsidR="00DE5847" w:rsidRPr="009D45EA" w:rsidRDefault="00DE5847" w:rsidP="006361D6">
            <w:pPr>
              <w:snapToGrid w:val="0"/>
              <w:spacing w:after="0" w:line="240" w:lineRule="auto"/>
              <w:jc w:val="center"/>
              <w:rPr>
                <w:rFonts w:cstheme="majorHAnsi"/>
                <w:b/>
                <w:szCs w:val="21"/>
                <w:lang w:val="fr-FR"/>
              </w:rPr>
            </w:pPr>
          </w:p>
        </w:tc>
        <w:tc>
          <w:tcPr>
            <w:tcW w:w="84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4F586A25" w14:textId="77777777" w:rsidR="00DE5847" w:rsidRPr="009D45EA" w:rsidRDefault="00DE5847" w:rsidP="006361D6">
            <w:pPr>
              <w:snapToGrid w:val="0"/>
              <w:spacing w:after="0" w:line="240" w:lineRule="auto"/>
              <w:jc w:val="center"/>
              <w:rPr>
                <w:rFonts w:cstheme="majorHAnsi"/>
                <w:b/>
                <w:szCs w:val="21"/>
                <w:lang w:val="fr-FR"/>
              </w:rPr>
            </w:pPr>
            <w:r w:rsidRPr="009D45EA">
              <w:rPr>
                <w:rFonts w:cstheme="majorHAnsi"/>
                <w:b/>
                <w:szCs w:val="21"/>
                <w:lang w:val="fr-FR"/>
              </w:rPr>
              <w:t>C-</w:t>
            </w:r>
          </w:p>
        </w:tc>
        <w:tc>
          <w:tcPr>
            <w:tcW w:w="84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0DECE6E9" w14:textId="77777777" w:rsidR="00DE5847" w:rsidRPr="009D45EA" w:rsidRDefault="00DE5847" w:rsidP="006361D6">
            <w:pPr>
              <w:snapToGrid w:val="0"/>
              <w:spacing w:after="0" w:line="240" w:lineRule="auto"/>
              <w:jc w:val="center"/>
              <w:rPr>
                <w:rFonts w:cstheme="majorHAnsi"/>
                <w:b/>
                <w:szCs w:val="21"/>
                <w:lang w:val="fr-FR"/>
              </w:rPr>
            </w:pPr>
          </w:p>
        </w:tc>
      </w:tr>
      <w:tr w:rsidR="00DE5847" w:rsidRPr="009D45EA" w14:paraId="51C20DA4" w14:textId="77777777" w:rsidTr="006361D6">
        <w:trPr>
          <w:trHeight w:val="300"/>
        </w:trPr>
        <w:tc>
          <w:tcPr>
            <w:tcW w:w="495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7AEE3AF3" w14:textId="77777777" w:rsidR="00DE5847" w:rsidRPr="009D45EA" w:rsidRDefault="00DE5847" w:rsidP="006361D6">
            <w:pPr>
              <w:snapToGrid w:val="0"/>
              <w:spacing w:after="0" w:line="240" w:lineRule="auto"/>
              <w:rPr>
                <w:rFonts w:cstheme="majorHAnsi"/>
                <w:szCs w:val="21"/>
                <w:lang w:val="fr-FR"/>
              </w:rPr>
            </w:pPr>
            <w:r w:rsidRPr="009D45EA">
              <w:rPr>
                <w:rFonts w:cstheme="majorHAnsi"/>
                <w:szCs w:val="21"/>
                <w:lang w:val="fr-FR"/>
              </w:rPr>
              <w:t>Impact potentiel théorique : B</w:t>
            </w:r>
          </w:p>
        </w:tc>
        <w:tc>
          <w:tcPr>
            <w:tcW w:w="84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20586EFF" w14:textId="77777777" w:rsidR="00DE5847" w:rsidRPr="009D45EA" w:rsidRDefault="00DE5847" w:rsidP="006361D6">
            <w:pPr>
              <w:snapToGrid w:val="0"/>
              <w:spacing w:after="0" w:line="240" w:lineRule="auto"/>
              <w:jc w:val="center"/>
              <w:rPr>
                <w:rFonts w:cstheme="majorHAnsi"/>
                <w:b/>
                <w:szCs w:val="21"/>
                <w:lang w:val="fr-FR"/>
              </w:rPr>
            </w:pPr>
          </w:p>
        </w:tc>
        <w:tc>
          <w:tcPr>
            <w:tcW w:w="84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7BA6E3B5" w14:textId="77777777" w:rsidR="00DE5847" w:rsidRPr="009D45EA" w:rsidRDefault="00DE5847" w:rsidP="006361D6">
            <w:pPr>
              <w:snapToGrid w:val="0"/>
              <w:spacing w:after="0" w:line="240" w:lineRule="auto"/>
              <w:jc w:val="center"/>
              <w:rPr>
                <w:rFonts w:cstheme="majorHAnsi"/>
                <w:b/>
                <w:szCs w:val="21"/>
                <w:lang w:val="fr-FR"/>
              </w:rPr>
            </w:pPr>
            <w:r w:rsidRPr="009D45EA">
              <w:rPr>
                <w:rFonts w:cstheme="majorHAnsi"/>
                <w:b/>
                <w:szCs w:val="21"/>
                <w:lang w:val="fr-FR"/>
              </w:rPr>
              <w:t>B</w:t>
            </w:r>
          </w:p>
        </w:tc>
        <w:tc>
          <w:tcPr>
            <w:tcW w:w="84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4C7A8400" w14:textId="77777777" w:rsidR="00DE5847" w:rsidRPr="009D45EA" w:rsidRDefault="00DE5847" w:rsidP="006361D6">
            <w:pPr>
              <w:snapToGrid w:val="0"/>
              <w:spacing w:after="0" w:line="240" w:lineRule="auto"/>
              <w:jc w:val="center"/>
              <w:rPr>
                <w:rFonts w:cstheme="majorHAnsi"/>
                <w:b/>
                <w:szCs w:val="21"/>
                <w:lang w:val="fr-FR"/>
              </w:rPr>
            </w:pPr>
          </w:p>
        </w:tc>
        <w:tc>
          <w:tcPr>
            <w:tcW w:w="84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1326C78C" w14:textId="77777777" w:rsidR="00DE5847" w:rsidRPr="009D45EA" w:rsidRDefault="00DE5847" w:rsidP="006361D6">
            <w:pPr>
              <w:snapToGrid w:val="0"/>
              <w:spacing w:after="0" w:line="240" w:lineRule="auto"/>
              <w:jc w:val="center"/>
              <w:rPr>
                <w:rFonts w:cstheme="majorHAnsi"/>
                <w:b/>
                <w:szCs w:val="21"/>
                <w:lang w:val="fr-FR"/>
              </w:rPr>
            </w:pPr>
          </w:p>
        </w:tc>
      </w:tr>
      <w:tr w:rsidR="00DE5847" w:rsidRPr="009D45EA" w14:paraId="1EFFB6F8" w14:textId="77777777" w:rsidTr="006361D6">
        <w:trPr>
          <w:trHeight w:val="300"/>
        </w:trPr>
        <w:tc>
          <w:tcPr>
            <w:tcW w:w="495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1C9226DF" w14:textId="77777777" w:rsidR="00DE5847" w:rsidRPr="009D45EA" w:rsidRDefault="00DE5847" w:rsidP="00DE5847">
            <w:pPr>
              <w:numPr>
                <w:ilvl w:val="2"/>
                <w:numId w:val="2"/>
              </w:numPr>
              <w:spacing w:after="0" w:line="240" w:lineRule="auto"/>
              <w:rPr>
                <w:rFonts w:cstheme="majorHAnsi"/>
                <w:szCs w:val="21"/>
                <w:lang w:val="fr-FR"/>
              </w:rPr>
            </w:pPr>
            <w:r w:rsidRPr="009D45EA">
              <w:rPr>
                <w:rFonts w:cstheme="majorHAnsi"/>
                <w:szCs w:val="21"/>
                <w:lang w:val="fr-FR"/>
              </w:rPr>
              <w:t>Probabilité d’impact de la mise en œuvre : D</w:t>
            </w:r>
          </w:p>
        </w:tc>
        <w:tc>
          <w:tcPr>
            <w:tcW w:w="84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2DE9E7C5" w14:textId="77777777" w:rsidR="00DE5847" w:rsidRPr="009D45EA" w:rsidRDefault="00DE5847" w:rsidP="006361D6">
            <w:pPr>
              <w:snapToGrid w:val="0"/>
              <w:spacing w:after="0" w:line="240" w:lineRule="auto"/>
              <w:jc w:val="center"/>
              <w:rPr>
                <w:rFonts w:cstheme="majorHAnsi"/>
                <w:b/>
                <w:szCs w:val="21"/>
                <w:lang w:val="fr-FR"/>
              </w:rPr>
            </w:pPr>
          </w:p>
        </w:tc>
        <w:tc>
          <w:tcPr>
            <w:tcW w:w="84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016D313C" w14:textId="77777777" w:rsidR="00DE5847" w:rsidRPr="009D45EA" w:rsidRDefault="00DE5847" w:rsidP="006361D6">
            <w:pPr>
              <w:snapToGrid w:val="0"/>
              <w:spacing w:after="0" w:line="240" w:lineRule="auto"/>
              <w:jc w:val="center"/>
              <w:rPr>
                <w:rFonts w:cstheme="majorHAnsi"/>
                <w:b/>
                <w:szCs w:val="21"/>
                <w:lang w:val="fr-FR"/>
              </w:rPr>
            </w:pPr>
          </w:p>
        </w:tc>
        <w:tc>
          <w:tcPr>
            <w:tcW w:w="84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550674E8" w14:textId="77777777" w:rsidR="00DE5847" w:rsidRPr="009D45EA" w:rsidRDefault="00DE5847" w:rsidP="006361D6">
            <w:pPr>
              <w:snapToGrid w:val="0"/>
              <w:spacing w:after="0" w:line="240" w:lineRule="auto"/>
              <w:jc w:val="center"/>
              <w:rPr>
                <w:rFonts w:cstheme="majorHAnsi"/>
                <w:b/>
                <w:szCs w:val="21"/>
                <w:lang w:val="fr-FR"/>
              </w:rPr>
            </w:pPr>
          </w:p>
        </w:tc>
        <w:tc>
          <w:tcPr>
            <w:tcW w:w="84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73BFC544" w14:textId="77777777" w:rsidR="00DE5847" w:rsidRPr="009D45EA" w:rsidRDefault="00DE5847" w:rsidP="006361D6">
            <w:pPr>
              <w:snapToGrid w:val="0"/>
              <w:spacing w:after="0" w:line="240" w:lineRule="auto"/>
              <w:jc w:val="center"/>
              <w:rPr>
                <w:rFonts w:cstheme="majorHAnsi"/>
                <w:b/>
                <w:szCs w:val="21"/>
                <w:lang w:val="fr-FR"/>
              </w:rPr>
            </w:pPr>
            <w:r w:rsidRPr="009D45EA">
              <w:rPr>
                <w:rFonts w:cstheme="majorHAnsi"/>
                <w:b/>
                <w:szCs w:val="21"/>
                <w:lang w:val="fr-FR"/>
              </w:rPr>
              <w:t>D+</w:t>
            </w:r>
          </w:p>
        </w:tc>
      </w:tr>
      <w:tr w:rsidR="00DE5847" w:rsidRPr="009D45EA" w14:paraId="3477E401" w14:textId="77777777" w:rsidTr="006361D6">
        <w:trPr>
          <w:trHeight w:val="300"/>
        </w:trPr>
        <w:tc>
          <w:tcPr>
            <w:tcW w:w="495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531B05E9" w14:textId="77777777" w:rsidR="00DE5847" w:rsidRPr="009D45EA" w:rsidRDefault="00DE5847" w:rsidP="006361D6">
            <w:pPr>
              <w:tabs>
                <w:tab w:val="num" w:pos="360"/>
              </w:tabs>
              <w:spacing w:after="0" w:line="240" w:lineRule="auto"/>
              <w:rPr>
                <w:rFonts w:cstheme="majorHAnsi"/>
                <w:szCs w:val="21"/>
                <w:lang w:val="fr-FR"/>
              </w:rPr>
            </w:pPr>
            <w:r w:rsidRPr="009D45EA">
              <w:rPr>
                <w:rFonts w:cstheme="majorHAnsi"/>
                <w:szCs w:val="21"/>
                <w:lang w:val="fr-FR"/>
              </w:rPr>
              <w:t>Durabilité potentielle théorique : B</w:t>
            </w:r>
          </w:p>
        </w:tc>
        <w:tc>
          <w:tcPr>
            <w:tcW w:w="84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4EBE8FDD" w14:textId="77777777" w:rsidR="00DE5847" w:rsidRPr="009D45EA" w:rsidRDefault="00DE5847" w:rsidP="006361D6">
            <w:pPr>
              <w:snapToGrid w:val="0"/>
              <w:spacing w:after="0" w:line="240" w:lineRule="auto"/>
              <w:jc w:val="center"/>
              <w:rPr>
                <w:rFonts w:cstheme="majorHAnsi"/>
                <w:b/>
                <w:szCs w:val="21"/>
                <w:lang w:val="fr-FR"/>
              </w:rPr>
            </w:pPr>
          </w:p>
        </w:tc>
        <w:tc>
          <w:tcPr>
            <w:tcW w:w="84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7FA1F16A" w14:textId="77777777" w:rsidR="00DE5847" w:rsidRPr="009D45EA" w:rsidRDefault="00DE5847" w:rsidP="006361D6">
            <w:pPr>
              <w:snapToGrid w:val="0"/>
              <w:spacing w:after="0" w:line="240" w:lineRule="auto"/>
              <w:jc w:val="center"/>
              <w:rPr>
                <w:rFonts w:cstheme="majorHAnsi"/>
                <w:b/>
                <w:szCs w:val="21"/>
                <w:lang w:val="fr-FR"/>
              </w:rPr>
            </w:pPr>
            <w:r w:rsidRPr="009D45EA">
              <w:rPr>
                <w:rFonts w:cstheme="majorHAnsi"/>
                <w:b/>
                <w:szCs w:val="21"/>
                <w:lang w:val="fr-FR"/>
              </w:rPr>
              <w:t>B</w:t>
            </w:r>
          </w:p>
        </w:tc>
        <w:tc>
          <w:tcPr>
            <w:tcW w:w="84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02B77170" w14:textId="77777777" w:rsidR="00DE5847" w:rsidRPr="009D45EA" w:rsidRDefault="00DE5847" w:rsidP="006361D6">
            <w:pPr>
              <w:snapToGrid w:val="0"/>
              <w:spacing w:after="0" w:line="240" w:lineRule="auto"/>
              <w:jc w:val="center"/>
              <w:rPr>
                <w:rFonts w:cstheme="majorHAnsi"/>
                <w:b/>
                <w:szCs w:val="21"/>
                <w:lang w:val="fr-FR"/>
              </w:rPr>
            </w:pPr>
          </w:p>
        </w:tc>
        <w:tc>
          <w:tcPr>
            <w:tcW w:w="84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528787F7" w14:textId="77777777" w:rsidR="00DE5847" w:rsidRPr="009D45EA" w:rsidRDefault="00DE5847" w:rsidP="006361D6">
            <w:pPr>
              <w:snapToGrid w:val="0"/>
              <w:spacing w:after="0" w:line="240" w:lineRule="auto"/>
              <w:jc w:val="center"/>
              <w:rPr>
                <w:rFonts w:cstheme="majorHAnsi"/>
                <w:b/>
                <w:szCs w:val="21"/>
                <w:lang w:val="fr-FR"/>
              </w:rPr>
            </w:pPr>
          </w:p>
        </w:tc>
      </w:tr>
      <w:tr w:rsidR="00DE5847" w:rsidRPr="009D45EA" w14:paraId="6656218F" w14:textId="77777777" w:rsidTr="006361D6">
        <w:trPr>
          <w:trHeight w:val="300"/>
        </w:trPr>
        <w:tc>
          <w:tcPr>
            <w:tcW w:w="495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7672B99A" w14:textId="77777777" w:rsidR="00DE5847" w:rsidRPr="009D45EA" w:rsidRDefault="00DE5847" w:rsidP="006361D6">
            <w:pPr>
              <w:tabs>
                <w:tab w:val="num" w:pos="360"/>
              </w:tabs>
              <w:spacing w:after="0" w:line="240" w:lineRule="auto"/>
              <w:rPr>
                <w:rFonts w:cstheme="majorHAnsi"/>
                <w:szCs w:val="21"/>
                <w:lang w:val="fr-FR"/>
              </w:rPr>
            </w:pPr>
            <w:r w:rsidRPr="009D45EA">
              <w:rPr>
                <w:rFonts w:cstheme="majorHAnsi"/>
                <w:szCs w:val="21"/>
                <w:lang w:val="fr-FR"/>
              </w:rPr>
              <w:t>Durabilité de la mise en œuvre : D+</w:t>
            </w:r>
          </w:p>
        </w:tc>
        <w:tc>
          <w:tcPr>
            <w:tcW w:w="84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2A472E7A" w14:textId="77777777" w:rsidR="00DE5847" w:rsidRPr="009D45EA" w:rsidRDefault="00DE5847" w:rsidP="006361D6">
            <w:pPr>
              <w:snapToGrid w:val="0"/>
              <w:spacing w:after="0" w:line="240" w:lineRule="auto"/>
              <w:jc w:val="center"/>
              <w:rPr>
                <w:rFonts w:cstheme="majorHAnsi"/>
                <w:b/>
                <w:szCs w:val="21"/>
                <w:lang w:val="fr-FR"/>
              </w:rPr>
            </w:pPr>
          </w:p>
        </w:tc>
        <w:tc>
          <w:tcPr>
            <w:tcW w:w="84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07CEB698" w14:textId="77777777" w:rsidR="00DE5847" w:rsidRPr="009D45EA" w:rsidRDefault="00DE5847" w:rsidP="006361D6">
            <w:pPr>
              <w:snapToGrid w:val="0"/>
              <w:spacing w:after="0" w:line="240" w:lineRule="auto"/>
              <w:jc w:val="center"/>
              <w:rPr>
                <w:rFonts w:cstheme="majorHAnsi"/>
                <w:b/>
                <w:szCs w:val="21"/>
                <w:lang w:val="fr-FR"/>
              </w:rPr>
            </w:pPr>
          </w:p>
        </w:tc>
        <w:tc>
          <w:tcPr>
            <w:tcW w:w="84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203FA882" w14:textId="77777777" w:rsidR="00DE5847" w:rsidRPr="009D45EA" w:rsidRDefault="00DE5847" w:rsidP="006361D6">
            <w:pPr>
              <w:snapToGrid w:val="0"/>
              <w:spacing w:after="0" w:line="240" w:lineRule="auto"/>
              <w:jc w:val="center"/>
              <w:rPr>
                <w:rFonts w:cstheme="majorHAnsi"/>
                <w:b/>
                <w:szCs w:val="21"/>
                <w:lang w:val="fr-FR"/>
              </w:rPr>
            </w:pPr>
          </w:p>
        </w:tc>
        <w:tc>
          <w:tcPr>
            <w:tcW w:w="84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45303B0C" w14:textId="77777777" w:rsidR="00DE5847" w:rsidRPr="009D45EA" w:rsidRDefault="00DE5847" w:rsidP="006361D6">
            <w:pPr>
              <w:snapToGrid w:val="0"/>
              <w:spacing w:after="0" w:line="240" w:lineRule="auto"/>
              <w:jc w:val="center"/>
              <w:rPr>
                <w:rFonts w:cstheme="majorHAnsi"/>
                <w:b/>
                <w:szCs w:val="21"/>
                <w:lang w:val="fr-FR"/>
              </w:rPr>
            </w:pPr>
            <w:r w:rsidRPr="009D45EA">
              <w:rPr>
                <w:rFonts w:cstheme="majorHAnsi"/>
                <w:b/>
                <w:szCs w:val="21"/>
                <w:lang w:val="fr-FR"/>
              </w:rPr>
              <w:t>D+</w:t>
            </w:r>
          </w:p>
        </w:tc>
      </w:tr>
    </w:tbl>
    <w:p w14:paraId="115261DD" w14:textId="77777777" w:rsidR="000B7E6B" w:rsidRPr="009D45EA" w:rsidRDefault="000B7E6B">
      <w:pPr>
        <w:rPr>
          <w:szCs w:val="21"/>
        </w:rPr>
      </w:pPr>
    </w:p>
    <w:p w14:paraId="208118E1" w14:textId="77777777" w:rsidR="00DE5847" w:rsidRDefault="00DE5847" w:rsidP="00DE5847">
      <w:pPr>
        <w:pStyle w:val="Titre1"/>
        <w:pageBreakBefore/>
        <w:ind w:left="431" w:hanging="431"/>
      </w:pPr>
      <w:bookmarkStart w:id="3" w:name="_Toc518733103"/>
      <w:r>
        <w:lastRenderedPageBreak/>
        <w:t>Conclusions</w:t>
      </w:r>
      <w:bookmarkEnd w:id="3"/>
    </w:p>
    <w:p w14:paraId="13A42F0E" w14:textId="77777777" w:rsidR="00DE5847" w:rsidRPr="009D45EA" w:rsidRDefault="00DE5847" w:rsidP="00DE5847">
      <w:pPr>
        <w:spacing w:line="240" w:lineRule="auto"/>
        <w:rPr>
          <w:rFonts w:cstheme="majorHAnsi"/>
          <w:lang w:val="fr-FR"/>
        </w:rPr>
      </w:pPr>
      <w:r w:rsidRPr="009D45EA">
        <w:rPr>
          <w:rFonts w:cstheme="majorHAnsi"/>
          <w:lang w:val="fr-FR"/>
        </w:rPr>
        <w:t>Le PEE n’a pas renforcé de manière significative les capacités opérationnelles des institutions bénéficiaires, car l’appui accordé au travers du financement des initiatives est limité en termes de moyens et de temps. Le PEE n’a pas non plus contribué de manière significative à la bonne mise en œuvre du PIC, car le lien entre les initiatives et les autres interventions du PIC est le plus souvent indirect, souvent inexistant.</w:t>
      </w:r>
    </w:p>
    <w:p w14:paraId="1CADF239" w14:textId="77777777" w:rsidR="00DE5847" w:rsidRPr="009D45EA" w:rsidRDefault="00DE5847" w:rsidP="00DE5847">
      <w:pPr>
        <w:spacing w:line="240" w:lineRule="auto"/>
        <w:rPr>
          <w:rFonts w:cstheme="majorHAnsi"/>
          <w:lang w:val="fr-FR"/>
        </w:rPr>
      </w:pPr>
      <w:r w:rsidRPr="009D45EA">
        <w:rPr>
          <w:rFonts w:cstheme="majorHAnsi"/>
          <w:lang w:val="fr-FR"/>
        </w:rPr>
        <w:t>Le PEE a permis un certain nombre de réalisations intéressantes, mais la plupart ont une efficacité (très) faible et un impact peu probable car les conditions de succès, d’utilisation (mise à profit des outputs) et/ou de suivi ne sont pas réunies. La faiblesse majeure du PEE est que le critère ‘potentiel d’efficacité et d’impact - y compris l’imbrication de l’initiative dans un ensemble qui faciliterait l’efficacité et l’impact’- n’est pas vraiment pris en compte dans le processus de sélection des initiatives à appuyer par le PEE.</w:t>
      </w:r>
    </w:p>
    <w:p w14:paraId="583228C8" w14:textId="77777777" w:rsidR="00DE5847" w:rsidRPr="009D45EA" w:rsidRDefault="00DE5847" w:rsidP="00DE5847">
      <w:pPr>
        <w:spacing w:line="240" w:lineRule="auto"/>
        <w:rPr>
          <w:rFonts w:cstheme="majorHAnsi"/>
          <w:lang w:val="fr-FR"/>
        </w:rPr>
      </w:pPr>
      <w:r w:rsidRPr="009D45EA">
        <w:rPr>
          <w:rFonts w:cstheme="majorHAnsi"/>
          <w:lang w:val="fr-FR"/>
        </w:rPr>
        <w:t>Les critères établis sont trop larges dans leur formulation, ce qui a pour conséquence d’ouvrir l’outil à toutes les provinces et à un large nombre de secteurs et de thématiques. Le fait de faire reposer sur les seules institutions congolaises l’initiative de recourir aux études ou expertises a grandement limité les possibilités de rechercher et d’assurer une cohérence d’ensemble.</w:t>
      </w:r>
    </w:p>
    <w:p w14:paraId="175363B7" w14:textId="77777777" w:rsidR="00DE5847" w:rsidRPr="009D45EA" w:rsidRDefault="00DE5847" w:rsidP="00DE5847">
      <w:pPr>
        <w:spacing w:line="240" w:lineRule="auto"/>
        <w:rPr>
          <w:rFonts w:cstheme="majorHAnsi"/>
          <w:lang w:val="fr-FR"/>
        </w:rPr>
      </w:pPr>
      <w:r w:rsidRPr="009D45EA">
        <w:rPr>
          <w:rFonts w:cstheme="majorHAnsi"/>
          <w:lang w:val="fr-FR"/>
        </w:rPr>
        <w:t xml:space="preserve">Le PEE dispose cependant de plein de plus-values potentielles qui jusqu’à présent ont été sous-exploitées. Cet outil pourrait être utilement mis à profit pour relancer et dynamiser la coopération et pour y amener une approche de planification - suivi - pilotage stratégique partagée. Afin de créer ces opportunités, il faut commencer par une bonne compréhension systémique des plus-values attendues de cet outil pour augmenter l’efficience, l’efficacité et l’impact de la coopération bilatérale en RDC. </w:t>
      </w:r>
    </w:p>
    <w:p w14:paraId="75251BE6" w14:textId="77777777" w:rsidR="00DE5847" w:rsidRDefault="00DE5847" w:rsidP="00DE5847">
      <w:pPr>
        <w:spacing w:line="240" w:lineRule="auto"/>
        <w:rPr>
          <w:rFonts w:cstheme="majorHAnsi"/>
          <w:lang w:val="fr-FR"/>
        </w:rPr>
      </w:pPr>
      <w:r w:rsidRPr="009D45EA">
        <w:rPr>
          <w:rFonts w:cstheme="majorHAnsi"/>
          <w:lang w:val="fr-FR"/>
        </w:rPr>
        <w:t>La volonté des parties congolaises et belges de prolonger le PEE est à encourager. Il faudra toutefois qu’elle puisse prendre appui sur la réactivation du dialogue entre les partenaires, et la restauration d’une confiance qui a semblé, au moment de la réalisation de la revue, encore relativement fragile. Par ailleurs, il faudra s’assurer de la volonté réelle des parties principales impliquées de redéfinir la stratégie d’intervention – avec une théorie de changement réfléchie et explicitée - et d’adapter les modalités de mise en œuvre. Ainsi il serait possible de palier aux faiblesses constatées par la revue finale et de matérialiser les potentiels identifiés.</w:t>
      </w:r>
    </w:p>
    <w:p w14:paraId="6B99E4C8" w14:textId="77777777" w:rsidR="005012D3" w:rsidRDefault="005012D3" w:rsidP="00DE5847">
      <w:pPr>
        <w:spacing w:line="240" w:lineRule="auto"/>
        <w:rPr>
          <w:rFonts w:cstheme="majorHAnsi"/>
          <w:lang w:val="fr-FR"/>
        </w:rPr>
      </w:pPr>
    </w:p>
    <w:p w14:paraId="09EABAF4" w14:textId="77777777" w:rsidR="005012D3" w:rsidRDefault="005012D3" w:rsidP="00DE5847">
      <w:pPr>
        <w:spacing w:line="240" w:lineRule="auto"/>
        <w:rPr>
          <w:rFonts w:cstheme="majorHAnsi"/>
          <w:lang w:val="fr-FR"/>
        </w:rPr>
      </w:pPr>
    </w:p>
    <w:p w14:paraId="2BAC3E24" w14:textId="77777777" w:rsidR="00DE5847" w:rsidRPr="00F80FE9" w:rsidRDefault="00DE5847" w:rsidP="00DE5847">
      <w:pPr>
        <w:pStyle w:val="Titre1"/>
        <w:pageBreakBefore/>
        <w:ind w:left="431" w:hanging="431"/>
        <w:rPr>
          <w:lang w:val="fr-FR"/>
        </w:rPr>
      </w:pPr>
      <w:bookmarkStart w:id="4" w:name="_Toc518733104"/>
      <w:bookmarkStart w:id="5" w:name="_GoBack"/>
      <w:bookmarkEnd w:id="5"/>
      <w:r w:rsidRPr="00F80FE9">
        <w:rPr>
          <w:lang w:val="fr-FR"/>
        </w:rPr>
        <w:t>Recommandations</w:t>
      </w:r>
      <w:bookmarkEnd w:id="4"/>
      <w:r w:rsidRPr="00F80FE9">
        <w:rPr>
          <w:lang w:val="fr-FR"/>
        </w:rPr>
        <w:t xml:space="preserve"> </w:t>
      </w:r>
    </w:p>
    <w:p w14:paraId="09D8C106" w14:textId="77777777" w:rsidR="00DE5847" w:rsidRPr="009D45EA" w:rsidRDefault="00DE5847" w:rsidP="00DE5847">
      <w:pPr>
        <w:spacing w:line="240" w:lineRule="auto"/>
        <w:rPr>
          <w:rFonts w:cstheme="majorHAnsi"/>
          <w:lang w:val="fr-BE"/>
        </w:rPr>
      </w:pPr>
      <w:r w:rsidRPr="009D45EA">
        <w:rPr>
          <w:rFonts w:cstheme="majorHAnsi"/>
          <w:u w:val="single"/>
          <w:lang w:val="fr-BE"/>
        </w:rPr>
        <w:t>Recommandations aux partenaires</w:t>
      </w:r>
      <w:r w:rsidRPr="009D45EA">
        <w:rPr>
          <w:rFonts w:cstheme="majorHAnsi"/>
          <w:lang w:val="fr-BE"/>
        </w:rPr>
        <w:t xml:space="preserve">, d’ici au </w:t>
      </w:r>
      <w:r w:rsidRPr="009D45EA">
        <w:rPr>
          <w:rFonts w:cstheme="majorHAnsi"/>
          <w:u w:val="single"/>
          <w:lang w:val="fr-BE"/>
        </w:rPr>
        <w:t>18 juillet 2018</w:t>
      </w:r>
      <w:r w:rsidRPr="009D45EA">
        <w:rPr>
          <w:rFonts w:cstheme="majorHAnsi"/>
          <w:lang w:val="fr-BE"/>
        </w:rPr>
        <w:t xml:space="preserve"> :</w:t>
      </w:r>
    </w:p>
    <w:p w14:paraId="5B71C3C4" w14:textId="77777777" w:rsidR="00DE5847" w:rsidRPr="009D45EA" w:rsidRDefault="00DE5847" w:rsidP="00DE5847">
      <w:pPr>
        <w:numPr>
          <w:ilvl w:val="0"/>
          <w:numId w:val="4"/>
        </w:numPr>
        <w:spacing w:line="240" w:lineRule="auto"/>
        <w:rPr>
          <w:rFonts w:cstheme="majorHAnsi"/>
          <w:lang w:val="fr-FR"/>
        </w:rPr>
      </w:pPr>
      <w:r w:rsidRPr="009D45EA">
        <w:rPr>
          <w:rFonts w:cstheme="majorHAnsi"/>
          <w:lang w:val="fr-BE"/>
        </w:rPr>
        <w:t>Le maintien du</w:t>
      </w:r>
      <w:r w:rsidRPr="009D45EA">
        <w:rPr>
          <w:rFonts w:cstheme="majorHAnsi"/>
          <w:lang w:val="fr-FR"/>
        </w:rPr>
        <w:t xml:space="preserve"> PEE/FEE en tant qu’outil flexible dans le cadre de la coopération bilatérale en RDC ; </w:t>
      </w:r>
    </w:p>
    <w:p w14:paraId="36702612" w14:textId="77777777" w:rsidR="00DE5847" w:rsidRPr="009D45EA" w:rsidRDefault="00DE5847" w:rsidP="00DE5847">
      <w:pPr>
        <w:numPr>
          <w:ilvl w:val="0"/>
          <w:numId w:val="4"/>
        </w:numPr>
        <w:spacing w:line="240" w:lineRule="auto"/>
        <w:rPr>
          <w:rFonts w:cstheme="majorHAnsi"/>
          <w:lang w:val="fr-FR"/>
        </w:rPr>
      </w:pPr>
      <w:r w:rsidRPr="009D45EA">
        <w:rPr>
          <w:rFonts w:cstheme="majorHAnsi"/>
          <w:lang w:val="fr-FR"/>
        </w:rPr>
        <w:t>La prolongation rapide, afin de pouvoir utiliser le reliquat disponible, par la signature d’une prolongation de la Convention Spécifique d’une durée de 3 ans ;</w:t>
      </w:r>
    </w:p>
    <w:p w14:paraId="077161A6" w14:textId="77777777" w:rsidR="00DE5847" w:rsidRPr="009D45EA" w:rsidRDefault="00DE5847" w:rsidP="00DE5847">
      <w:pPr>
        <w:numPr>
          <w:ilvl w:val="0"/>
          <w:numId w:val="4"/>
        </w:numPr>
        <w:spacing w:line="240" w:lineRule="auto"/>
        <w:rPr>
          <w:rFonts w:cstheme="majorHAnsi"/>
          <w:lang w:val="fr-FR"/>
        </w:rPr>
      </w:pPr>
      <w:r w:rsidRPr="009D45EA">
        <w:rPr>
          <w:rFonts w:cstheme="majorHAnsi"/>
          <w:lang w:val="fr-FR"/>
        </w:rPr>
        <w:t>La redéfinition fondamentale des modalités d’intervention, en partant de l’analyse des plus-values à rechercher ;</w:t>
      </w:r>
    </w:p>
    <w:p w14:paraId="23BBE05E" w14:textId="77777777" w:rsidR="00DE5847" w:rsidRPr="009D45EA" w:rsidRDefault="00DE5847" w:rsidP="00DE5847">
      <w:pPr>
        <w:numPr>
          <w:ilvl w:val="0"/>
          <w:numId w:val="4"/>
        </w:numPr>
        <w:spacing w:line="240" w:lineRule="auto"/>
        <w:rPr>
          <w:rFonts w:cstheme="majorHAnsi"/>
          <w:lang w:val="fr-FR"/>
        </w:rPr>
      </w:pPr>
      <w:r w:rsidRPr="009D45EA">
        <w:rPr>
          <w:rFonts w:cstheme="majorHAnsi"/>
          <w:lang w:val="fr-FR"/>
        </w:rPr>
        <w:t>Définir les axes et approches de ciblage stratégique en vue de générer suffisamment de synergies et de stimuler l’émergence d’une masse critique indispensable à l’efficacité, l’impact et la durabilité ;</w:t>
      </w:r>
    </w:p>
    <w:p w14:paraId="799B3F6D" w14:textId="77777777" w:rsidR="00DE5847" w:rsidRPr="009D45EA" w:rsidRDefault="00DE5847" w:rsidP="00DE5847">
      <w:pPr>
        <w:numPr>
          <w:ilvl w:val="0"/>
          <w:numId w:val="5"/>
        </w:numPr>
        <w:spacing w:line="240" w:lineRule="auto"/>
        <w:rPr>
          <w:rFonts w:cstheme="majorHAnsi"/>
          <w:lang w:val="fr-FR"/>
        </w:rPr>
      </w:pPr>
      <w:r w:rsidRPr="009D45EA">
        <w:rPr>
          <w:rFonts w:cstheme="majorHAnsi"/>
          <w:lang w:val="fr-FR"/>
        </w:rPr>
        <w:t xml:space="preserve">Le nouveau DTF devrait positionner clairement le PEE comme un outil </w:t>
      </w:r>
      <w:r w:rsidRPr="009D45EA">
        <w:rPr>
          <w:rFonts w:cstheme="majorHAnsi"/>
          <w:b/>
          <w:lang w:val="fr-FR"/>
        </w:rPr>
        <w:t>complémentaire</w:t>
      </w:r>
      <w:r w:rsidRPr="009D45EA">
        <w:rPr>
          <w:rFonts w:cstheme="majorHAnsi"/>
          <w:lang w:val="fr-FR"/>
        </w:rPr>
        <w:t xml:space="preserve"> de réalisation des ambitions de la coopération bilatérale et fixer des </w:t>
      </w:r>
      <w:r w:rsidRPr="009D45EA">
        <w:rPr>
          <w:rFonts w:cstheme="majorHAnsi"/>
          <w:b/>
          <w:lang w:val="fr-FR"/>
        </w:rPr>
        <w:t>résultats précis en termes de plus-value spécifiques</w:t>
      </w:r>
      <w:r w:rsidRPr="009D45EA">
        <w:rPr>
          <w:rFonts w:cstheme="majorHAnsi"/>
          <w:lang w:val="fr-FR"/>
        </w:rPr>
        <w:t xml:space="preserve"> à apporter (voir Annexe 7 qui fournit un premier aperçu théorique des plus-values potentielles à considérer pour un tel instrument d’intervention complémentaire de la coopération bilatérale).</w:t>
      </w:r>
    </w:p>
    <w:p w14:paraId="53DD2B2A" w14:textId="77777777" w:rsidR="00DE5847" w:rsidRPr="009D45EA" w:rsidRDefault="00DE5847" w:rsidP="00DE5847">
      <w:pPr>
        <w:numPr>
          <w:ilvl w:val="0"/>
          <w:numId w:val="5"/>
        </w:numPr>
        <w:spacing w:line="240" w:lineRule="auto"/>
        <w:rPr>
          <w:rFonts w:cstheme="majorHAnsi"/>
          <w:lang w:val="fr-FR"/>
        </w:rPr>
      </w:pPr>
      <w:r w:rsidRPr="009D45EA">
        <w:rPr>
          <w:rFonts w:cstheme="majorHAnsi"/>
          <w:lang w:val="fr-FR"/>
        </w:rPr>
        <w:t xml:space="preserve">Les fonds du PEE devraient être utilisés pour </w:t>
      </w:r>
      <w:r w:rsidRPr="009D45EA">
        <w:rPr>
          <w:rFonts w:cstheme="majorHAnsi"/>
          <w:b/>
          <w:lang w:val="fr-FR"/>
        </w:rPr>
        <w:t>améliorer les conditions de succès d’autres interventions</w:t>
      </w:r>
      <w:r w:rsidRPr="009D45EA">
        <w:rPr>
          <w:rFonts w:cstheme="majorHAnsi"/>
          <w:lang w:val="fr-FR"/>
        </w:rPr>
        <w:t xml:space="preserve">, pour travailler sur les synergies intersectorielles, la coordination inter-bailleurs en province, pour avancer la réflexion et préparer les futures interventions, </w:t>
      </w:r>
    </w:p>
    <w:p w14:paraId="66CDB9C1" w14:textId="77777777" w:rsidR="00DE5847" w:rsidRPr="009D45EA" w:rsidRDefault="00DE5847" w:rsidP="00DE5847">
      <w:pPr>
        <w:numPr>
          <w:ilvl w:val="0"/>
          <w:numId w:val="5"/>
        </w:numPr>
        <w:spacing w:line="240" w:lineRule="auto"/>
        <w:rPr>
          <w:rFonts w:cstheme="majorHAnsi"/>
          <w:lang w:val="fr-FR"/>
        </w:rPr>
      </w:pPr>
      <w:r w:rsidRPr="009D45EA">
        <w:rPr>
          <w:rFonts w:cstheme="majorHAnsi"/>
          <w:lang w:val="fr-FR"/>
        </w:rPr>
        <w:t xml:space="preserve">Travailler en </w:t>
      </w:r>
      <w:r w:rsidRPr="009D45EA">
        <w:rPr>
          <w:rFonts w:cstheme="majorHAnsi"/>
          <w:b/>
          <w:lang w:val="fr-FR"/>
        </w:rPr>
        <w:t>partenariat avec les institutions publiques provinciales</w:t>
      </w:r>
      <w:r w:rsidRPr="009D45EA">
        <w:rPr>
          <w:rFonts w:cstheme="majorHAnsi"/>
          <w:lang w:val="fr-FR"/>
        </w:rPr>
        <w:t xml:space="preserve"> pour renforcer le principe d’appropriation. </w:t>
      </w:r>
    </w:p>
    <w:p w14:paraId="7D5C1699" w14:textId="77777777" w:rsidR="00DE5847" w:rsidRPr="009D45EA" w:rsidRDefault="00DE5847" w:rsidP="00DE5847">
      <w:pPr>
        <w:spacing w:line="240" w:lineRule="auto"/>
        <w:rPr>
          <w:rFonts w:cstheme="majorHAnsi"/>
          <w:lang w:val="fr-FR"/>
        </w:rPr>
      </w:pPr>
    </w:p>
    <w:p w14:paraId="50DBE497" w14:textId="77777777" w:rsidR="00DE5847" w:rsidRPr="009D45EA" w:rsidRDefault="00DE5847" w:rsidP="00DE5847">
      <w:pPr>
        <w:spacing w:line="240" w:lineRule="auto"/>
        <w:rPr>
          <w:rFonts w:cstheme="majorHAnsi"/>
          <w:lang w:val="fr-FR"/>
        </w:rPr>
      </w:pPr>
      <w:r w:rsidRPr="009D45EA">
        <w:rPr>
          <w:rFonts w:cstheme="majorHAnsi"/>
          <w:lang w:val="fr-BE"/>
        </w:rPr>
        <w:t xml:space="preserve">Recommandations aux partenaires, </w:t>
      </w:r>
      <w:r w:rsidRPr="009D45EA">
        <w:rPr>
          <w:rFonts w:cstheme="majorHAnsi"/>
          <w:u w:val="single"/>
          <w:lang w:val="fr-FR"/>
        </w:rPr>
        <w:t>après le 18 juillet 2018</w:t>
      </w:r>
      <w:r w:rsidRPr="009D45EA">
        <w:rPr>
          <w:rFonts w:cstheme="majorHAnsi"/>
          <w:lang w:val="fr-FR"/>
        </w:rPr>
        <w:t xml:space="preserve"> :</w:t>
      </w:r>
    </w:p>
    <w:p w14:paraId="1EDD5C2F" w14:textId="77777777" w:rsidR="00DE5847" w:rsidRPr="009D45EA" w:rsidRDefault="00DE5847" w:rsidP="00DE5847">
      <w:pPr>
        <w:numPr>
          <w:ilvl w:val="0"/>
          <w:numId w:val="6"/>
        </w:numPr>
        <w:spacing w:line="240" w:lineRule="auto"/>
        <w:rPr>
          <w:rFonts w:cstheme="majorHAnsi"/>
          <w:lang w:val="fr-FR"/>
        </w:rPr>
      </w:pPr>
      <w:r w:rsidRPr="009D45EA">
        <w:rPr>
          <w:rFonts w:cstheme="majorHAnsi"/>
          <w:lang w:val="fr-FR"/>
        </w:rPr>
        <w:t xml:space="preserve">Le travail en commun sur une théorie de changement qui soit basée sur une bonne compréhension systémique, et prévoir des indicateurs de performance </w:t>
      </w:r>
    </w:p>
    <w:p w14:paraId="2D263D0F" w14:textId="77777777" w:rsidR="00DE5847" w:rsidRPr="009D45EA" w:rsidRDefault="00DE5847" w:rsidP="00DE5847">
      <w:pPr>
        <w:numPr>
          <w:ilvl w:val="0"/>
          <w:numId w:val="6"/>
        </w:numPr>
        <w:spacing w:line="240" w:lineRule="auto"/>
        <w:rPr>
          <w:rFonts w:cstheme="majorHAnsi"/>
          <w:lang w:val="fr-FR"/>
        </w:rPr>
      </w:pPr>
      <w:r w:rsidRPr="009D45EA">
        <w:rPr>
          <w:rFonts w:cstheme="majorHAnsi"/>
          <w:lang w:val="fr-FR"/>
        </w:rPr>
        <w:t>Revoir l’ensemble des modalités, outils, procédures pour les adapter à la nouvelle logique d’intervention</w:t>
      </w:r>
    </w:p>
    <w:p w14:paraId="2F0134F4" w14:textId="77777777" w:rsidR="00DE5847" w:rsidRPr="009D45EA" w:rsidRDefault="00DE5847" w:rsidP="00DE5847">
      <w:pPr>
        <w:spacing w:line="240" w:lineRule="auto"/>
        <w:rPr>
          <w:rFonts w:cstheme="majorHAnsi"/>
          <w:lang w:val="fr-FR"/>
        </w:rPr>
      </w:pPr>
    </w:p>
    <w:p w14:paraId="5C593993" w14:textId="77777777" w:rsidR="00DE5847" w:rsidRPr="009D45EA" w:rsidRDefault="00DE5847" w:rsidP="00DE5847">
      <w:pPr>
        <w:spacing w:line="240" w:lineRule="auto"/>
        <w:rPr>
          <w:rFonts w:cstheme="majorHAnsi"/>
          <w:lang w:val="fr-FR"/>
        </w:rPr>
      </w:pPr>
      <w:r w:rsidRPr="009D45EA">
        <w:rPr>
          <w:rFonts w:cstheme="majorHAnsi"/>
          <w:u w:val="single"/>
          <w:lang w:val="fr-BE"/>
        </w:rPr>
        <w:t>Recommandation complémentaire</w:t>
      </w:r>
      <w:r w:rsidRPr="009D45EA">
        <w:rPr>
          <w:rFonts w:cstheme="majorHAnsi"/>
          <w:lang w:val="fr-BE"/>
        </w:rPr>
        <w:t xml:space="preserve"> </w:t>
      </w:r>
      <w:r w:rsidRPr="009D45EA">
        <w:rPr>
          <w:rFonts w:cstheme="majorHAnsi"/>
          <w:lang w:val="fr-FR"/>
        </w:rPr>
        <w:t xml:space="preserve">quant à la </w:t>
      </w:r>
      <w:r w:rsidRPr="009D45EA">
        <w:rPr>
          <w:rFonts w:cstheme="majorHAnsi"/>
          <w:u w:val="single"/>
          <w:lang w:val="fr-BE"/>
        </w:rPr>
        <w:t>logique d’intervention</w:t>
      </w:r>
      <w:r w:rsidRPr="009D45EA">
        <w:rPr>
          <w:rFonts w:cstheme="majorHAnsi"/>
          <w:lang w:val="fr-FR"/>
        </w:rPr>
        <w:t xml:space="preserve"> pour des formulations ultérieures de ce type de programme :</w:t>
      </w:r>
    </w:p>
    <w:p w14:paraId="66029A6F" w14:textId="77777777" w:rsidR="00DE5847" w:rsidRPr="009D45EA" w:rsidRDefault="00DE5847" w:rsidP="00DE5847">
      <w:pPr>
        <w:spacing w:line="240" w:lineRule="auto"/>
        <w:rPr>
          <w:rFonts w:cstheme="majorHAnsi"/>
          <w:lang w:val="fr-FR"/>
        </w:rPr>
      </w:pPr>
      <w:r w:rsidRPr="009D45EA">
        <w:rPr>
          <w:rFonts w:cstheme="majorHAnsi"/>
          <w:lang w:val="fr-FR"/>
        </w:rPr>
        <w:t>Il est recommandé de ne pas conserver le renforcement de capacités des institutions congolaises comme objectif spécifique, car il est non approprié pour justifier un tel outil :</w:t>
      </w:r>
    </w:p>
    <w:p w14:paraId="0CEB92F5" w14:textId="77777777" w:rsidR="00DE5847" w:rsidRPr="009D45EA" w:rsidRDefault="00DE5847" w:rsidP="00DE5847">
      <w:pPr>
        <w:numPr>
          <w:ilvl w:val="0"/>
          <w:numId w:val="3"/>
        </w:numPr>
        <w:spacing w:line="240" w:lineRule="auto"/>
        <w:rPr>
          <w:rFonts w:cstheme="majorHAnsi"/>
          <w:lang w:val="fr-FR"/>
        </w:rPr>
      </w:pPr>
      <w:r w:rsidRPr="009D45EA">
        <w:rPr>
          <w:rFonts w:cstheme="majorHAnsi"/>
          <w:lang w:val="fr-FR"/>
        </w:rPr>
        <w:t xml:space="preserve">Le « Renforcement des capacités des institutions publiques congolaises » risque d’être un ‘fourretout’ qui se dégrade facilement dans des </w:t>
      </w:r>
      <w:proofErr w:type="spellStart"/>
      <w:r w:rsidRPr="009D45EA">
        <w:rPr>
          <w:rFonts w:cstheme="majorHAnsi"/>
          <w:lang w:val="fr-FR"/>
        </w:rPr>
        <w:t>intiatives</w:t>
      </w:r>
      <w:proofErr w:type="spellEnd"/>
      <w:r w:rsidRPr="009D45EA">
        <w:rPr>
          <w:rFonts w:cstheme="majorHAnsi"/>
          <w:lang w:val="fr-FR"/>
        </w:rPr>
        <w:t xml:space="preserve"> ponctuelles et isolées et donc dans peu (de probabilité) d’efficacité et d’effet.</w:t>
      </w:r>
    </w:p>
    <w:p w14:paraId="4471736E" w14:textId="77777777" w:rsidR="00DE5847" w:rsidRPr="009D45EA" w:rsidRDefault="00DE5847" w:rsidP="00DE5847">
      <w:pPr>
        <w:numPr>
          <w:ilvl w:val="0"/>
          <w:numId w:val="3"/>
        </w:numPr>
        <w:spacing w:line="240" w:lineRule="auto"/>
        <w:rPr>
          <w:rFonts w:cstheme="majorHAnsi"/>
          <w:lang w:val="fr-FR"/>
        </w:rPr>
      </w:pPr>
      <w:r w:rsidRPr="009D45EA">
        <w:rPr>
          <w:rFonts w:cstheme="majorHAnsi"/>
          <w:lang w:val="fr-FR"/>
        </w:rPr>
        <w:t>Le « Renforcement des capacités des institutions » ne devrait pas être un objectif en soi, mais un moyen, une condition de succès pour atteindre un (ou des) autre(s) objectif(s) concrets et donc spécifiques.</w:t>
      </w:r>
    </w:p>
    <w:p w14:paraId="4F66262A" w14:textId="77777777" w:rsidR="00DE5847" w:rsidRPr="009D45EA" w:rsidRDefault="00DE5847" w:rsidP="00DE5847">
      <w:pPr>
        <w:pStyle w:val="Paragraphedeliste"/>
        <w:numPr>
          <w:ilvl w:val="0"/>
          <w:numId w:val="3"/>
        </w:numPr>
        <w:spacing w:line="240" w:lineRule="auto"/>
        <w:rPr>
          <w:rFonts w:cstheme="majorHAnsi"/>
          <w:lang w:val="fr-FR"/>
        </w:rPr>
      </w:pPr>
      <w:r w:rsidRPr="009D45EA">
        <w:rPr>
          <w:rFonts w:cstheme="majorHAnsi"/>
          <w:lang w:val="fr-FR"/>
        </w:rPr>
        <w:t>Si on réfléchit en mode de financement complémentaire aux interventions classiques alors cela devient moins pertinent de fixer un tel objectif spécifique propre au PEE.</w:t>
      </w:r>
    </w:p>
    <w:p w14:paraId="1CD305FB" w14:textId="77777777" w:rsidR="00DE5847" w:rsidRPr="00140F2A" w:rsidRDefault="00DE5847" w:rsidP="00DE5847">
      <w:pPr>
        <w:spacing w:line="240" w:lineRule="auto"/>
        <w:ind w:left="720"/>
        <w:rPr>
          <w:rFonts w:asciiTheme="majorHAnsi" w:hAnsiTheme="majorHAnsi" w:cstheme="majorHAnsi"/>
          <w:lang w:val="fr-FR"/>
        </w:rPr>
      </w:pPr>
    </w:p>
    <w:p w14:paraId="66993729" w14:textId="77777777" w:rsidR="00DE5847" w:rsidRPr="00A83D34" w:rsidRDefault="00DE5847" w:rsidP="00DE5847">
      <w:pPr>
        <w:pStyle w:val="Titre1"/>
        <w:pageBreakBefore/>
        <w:ind w:left="431" w:hanging="431"/>
        <w:rPr>
          <w:lang w:val="fr-FR"/>
        </w:rPr>
      </w:pPr>
      <w:bookmarkStart w:id="6" w:name="_Toc518733105"/>
      <w:r w:rsidRPr="00A83D34">
        <w:rPr>
          <w:lang w:val="fr-FR"/>
        </w:rPr>
        <w:t>Enseignements tirés</w:t>
      </w:r>
      <w:bookmarkEnd w:id="6"/>
      <w:r w:rsidRPr="00A83D34">
        <w:rPr>
          <w:lang w:val="fr-FR"/>
        </w:rPr>
        <w:t xml:space="preserve"> </w:t>
      </w:r>
    </w:p>
    <w:p w14:paraId="1EE61CF4" w14:textId="77777777" w:rsidR="00DE5847" w:rsidRPr="009D45EA" w:rsidRDefault="00DE5847" w:rsidP="00DE5847">
      <w:pPr>
        <w:pStyle w:val="Corpsdetexte"/>
        <w:jc w:val="both"/>
        <w:rPr>
          <w:rFonts w:ascii="Georgia" w:eastAsia="Calibri" w:hAnsi="Georgia" w:cstheme="majorHAnsi"/>
          <w:i/>
          <w:color w:val="404040" w:themeColor="text1" w:themeTint="BF"/>
          <w:sz w:val="21"/>
          <w:szCs w:val="21"/>
          <w:lang w:val="fr-FR"/>
        </w:rPr>
      </w:pPr>
      <w:r w:rsidRPr="009D45EA">
        <w:rPr>
          <w:rFonts w:ascii="Georgia" w:hAnsi="Georgia" w:cstheme="majorHAnsi"/>
          <w:color w:val="404040" w:themeColor="text1" w:themeTint="BF"/>
          <w:sz w:val="21"/>
          <w:szCs w:val="21"/>
          <w:lang w:val="fr-FR"/>
        </w:rPr>
        <w:t>Les principes de Gestion axée sur les résultats auraient dû être appliqués à l’intervention, de manière adaptée pour tenir compte du caractère spécifique du PEE</w:t>
      </w:r>
      <w:r w:rsidRPr="009D45EA">
        <w:rPr>
          <w:rFonts w:ascii="Georgia" w:eastAsia="Calibri" w:hAnsi="Georgia" w:cstheme="majorHAnsi"/>
          <w:i/>
          <w:color w:val="404040" w:themeColor="text1" w:themeTint="BF"/>
          <w:sz w:val="21"/>
          <w:szCs w:val="21"/>
          <w:lang w:val="fr-FR"/>
        </w:rPr>
        <w:t xml:space="preserve">. </w:t>
      </w:r>
      <w:r w:rsidRPr="009D45EA">
        <w:rPr>
          <w:rFonts w:ascii="Georgia" w:eastAsia="Calibri" w:hAnsi="Georgia" w:cstheme="majorHAnsi"/>
          <w:color w:val="404040" w:themeColor="text1" w:themeTint="BF"/>
          <w:sz w:val="21"/>
          <w:szCs w:val="21"/>
          <w:lang w:val="fr-FR"/>
        </w:rPr>
        <w:t>L’enseignement principal tiré de cette revue serait de ne pas écarter les</w:t>
      </w:r>
      <w:r w:rsidRPr="009D45EA">
        <w:rPr>
          <w:rFonts w:ascii="Georgia" w:eastAsia="Calibri" w:hAnsi="Georgia" w:cstheme="majorHAnsi"/>
          <w:i/>
          <w:color w:val="404040" w:themeColor="text1" w:themeTint="BF"/>
          <w:sz w:val="21"/>
          <w:szCs w:val="21"/>
          <w:lang w:val="fr-FR"/>
        </w:rPr>
        <w:t xml:space="preserve"> </w:t>
      </w:r>
      <w:r w:rsidRPr="009D45EA">
        <w:rPr>
          <w:rFonts w:ascii="Georgia" w:hAnsi="Georgia" w:cstheme="majorHAnsi"/>
          <w:color w:val="404040" w:themeColor="text1" w:themeTint="BF"/>
          <w:sz w:val="21"/>
          <w:szCs w:val="21"/>
          <w:lang w:val="fr-FR"/>
        </w:rPr>
        <w:t xml:space="preserve">directives MORE RESULTS, même dans l’hypothèse où l’on fait face à un programme particulier ou lorsqu’il s’agit d’un fonds. </w:t>
      </w:r>
    </w:p>
    <w:p w14:paraId="7CF1762F" w14:textId="77777777" w:rsidR="00DE5847" w:rsidRPr="009D45EA" w:rsidRDefault="00DE5847" w:rsidP="00DE5847">
      <w:pPr>
        <w:pStyle w:val="Corpsdetexte"/>
        <w:jc w:val="both"/>
        <w:rPr>
          <w:rFonts w:ascii="Georgia" w:hAnsi="Georgia"/>
          <w:highlight w:val="yellow"/>
          <w:lang w:val="fr-FR"/>
        </w:rPr>
      </w:pPr>
    </w:p>
    <w:p w14:paraId="564FD618" w14:textId="77777777" w:rsidR="00DE5847" w:rsidRPr="009D45EA" w:rsidRDefault="00DE5847">
      <w:pPr>
        <w:rPr>
          <w:lang w:val="fr-BE"/>
        </w:rPr>
      </w:pPr>
    </w:p>
    <w:sectPr w:rsidR="00DE5847" w:rsidRPr="009D45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46FF0F" w14:textId="77777777" w:rsidR="009130EF" w:rsidRDefault="009130EF" w:rsidP="00DE5847">
      <w:pPr>
        <w:spacing w:after="0" w:line="240" w:lineRule="auto"/>
      </w:pPr>
      <w:r>
        <w:separator/>
      </w:r>
    </w:p>
  </w:endnote>
  <w:endnote w:type="continuationSeparator" w:id="0">
    <w:p w14:paraId="05630D13" w14:textId="77777777" w:rsidR="009130EF" w:rsidRDefault="009130EF" w:rsidP="00DE5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ymbolMT">
    <w:altName w:val="Microsoft JhengHei"/>
    <w:panose1 w:val="00000000000000000000"/>
    <w:charset w:val="88"/>
    <w:family w:val="auto"/>
    <w:notTrueType/>
    <w:pitch w:val="default"/>
    <w:sig w:usb0="00002A87" w:usb1="08080000" w:usb2="00000010" w:usb3="00000000" w:csb0="001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D53BA6" w14:textId="77777777" w:rsidR="009130EF" w:rsidRDefault="009130EF" w:rsidP="00DE5847">
      <w:pPr>
        <w:spacing w:after="0" w:line="240" w:lineRule="auto"/>
      </w:pPr>
      <w:r>
        <w:separator/>
      </w:r>
    </w:p>
  </w:footnote>
  <w:footnote w:type="continuationSeparator" w:id="0">
    <w:p w14:paraId="2F7777F8" w14:textId="77777777" w:rsidR="009130EF" w:rsidRDefault="009130EF" w:rsidP="00DE5847">
      <w:pPr>
        <w:spacing w:after="0" w:line="240" w:lineRule="auto"/>
      </w:pPr>
      <w:r>
        <w:continuationSeparator/>
      </w:r>
    </w:p>
  </w:footnote>
  <w:footnote w:id="1">
    <w:p w14:paraId="533C370A" w14:textId="77777777" w:rsidR="00DE5847" w:rsidRPr="00A6664D" w:rsidRDefault="00DE5847" w:rsidP="00DE5847">
      <w:pPr>
        <w:pStyle w:val="Notedebasdepage"/>
        <w:rPr>
          <w:lang w:val="fr-FR"/>
        </w:rPr>
      </w:pPr>
      <w:r>
        <w:rPr>
          <w:rStyle w:val="Appelnotedebasdep"/>
        </w:rPr>
        <w:footnoteRef/>
      </w:r>
      <w:r w:rsidRPr="00A6664D">
        <w:rPr>
          <w:lang w:val="fr-FR"/>
        </w:rPr>
        <w:t xml:space="preserve"> </w:t>
      </w:r>
      <w:r>
        <w:rPr>
          <w:lang w:val="fr-FR"/>
        </w:rPr>
        <w:t xml:space="preserve">La revue a établi un score différencié pour mettre en évidence la plus-value de l’outil que constitue le PEE et son potentiel de réalisation tel qu’il a pu être observé. Le score potentiel est le score qui aurait pu être obtenu en l’absence des failles relevées dans la logique d’intervention et dans la mise en œuvre. Le score démontré est le score attribué à la </w:t>
      </w:r>
      <w:proofErr w:type="spellStart"/>
      <w:r>
        <w:rPr>
          <w:lang w:val="fr-FR"/>
        </w:rPr>
        <w:t>perfomance</w:t>
      </w:r>
      <w:proofErr w:type="spellEnd"/>
      <w:r>
        <w:rPr>
          <w:lang w:val="fr-FR"/>
        </w:rPr>
        <w:t xml:space="preserve"> obtenue par le PEE.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93C58"/>
    <w:multiLevelType w:val="hybridMultilevel"/>
    <w:tmpl w:val="CFB4B77C"/>
    <w:lvl w:ilvl="0" w:tplc="81983444">
      <w:start w:val="1"/>
      <w:numFmt w:val="bullet"/>
      <w:lvlText w:val="•"/>
      <w:lvlJc w:val="left"/>
      <w:pPr>
        <w:tabs>
          <w:tab w:val="num" w:pos="720"/>
        </w:tabs>
        <w:ind w:left="720" w:hanging="360"/>
      </w:pPr>
      <w:rPr>
        <w:rFonts w:ascii="Arial" w:hAnsi="Arial" w:hint="default"/>
      </w:rPr>
    </w:lvl>
    <w:lvl w:ilvl="1" w:tplc="A06CD618">
      <w:numFmt w:val="none"/>
      <w:lvlText w:val=""/>
      <w:lvlJc w:val="left"/>
      <w:pPr>
        <w:tabs>
          <w:tab w:val="num" w:pos="360"/>
        </w:tabs>
      </w:pPr>
    </w:lvl>
    <w:lvl w:ilvl="2" w:tplc="D8A4CB46">
      <w:numFmt w:val="none"/>
      <w:lvlText w:val=""/>
      <w:lvlJc w:val="left"/>
      <w:pPr>
        <w:tabs>
          <w:tab w:val="num" w:pos="360"/>
        </w:tabs>
      </w:pPr>
    </w:lvl>
    <w:lvl w:ilvl="3" w:tplc="B4662858" w:tentative="1">
      <w:start w:val="1"/>
      <w:numFmt w:val="bullet"/>
      <w:lvlText w:val="•"/>
      <w:lvlJc w:val="left"/>
      <w:pPr>
        <w:tabs>
          <w:tab w:val="num" w:pos="2880"/>
        </w:tabs>
        <w:ind w:left="2880" w:hanging="360"/>
      </w:pPr>
      <w:rPr>
        <w:rFonts w:ascii="Arial" w:hAnsi="Arial" w:hint="default"/>
      </w:rPr>
    </w:lvl>
    <w:lvl w:ilvl="4" w:tplc="22FEF746" w:tentative="1">
      <w:start w:val="1"/>
      <w:numFmt w:val="bullet"/>
      <w:lvlText w:val="•"/>
      <w:lvlJc w:val="left"/>
      <w:pPr>
        <w:tabs>
          <w:tab w:val="num" w:pos="3600"/>
        </w:tabs>
        <w:ind w:left="3600" w:hanging="360"/>
      </w:pPr>
      <w:rPr>
        <w:rFonts w:ascii="Arial" w:hAnsi="Arial" w:hint="default"/>
      </w:rPr>
    </w:lvl>
    <w:lvl w:ilvl="5" w:tplc="BC7209C2" w:tentative="1">
      <w:start w:val="1"/>
      <w:numFmt w:val="bullet"/>
      <w:lvlText w:val="•"/>
      <w:lvlJc w:val="left"/>
      <w:pPr>
        <w:tabs>
          <w:tab w:val="num" w:pos="4320"/>
        </w:tabs>
        <w:ind w:left="4320" w:hanging="360"/>
      </w:pPr>
      <w:rPr>
        <w:rFonts w:ascii="Arial" w:hAnsi="Arial" w:hint="default"/>
      </w:rPr>
    </w:lvl>
    <w:lvl w:ilvl="6" w:tplc="C2A61204" w:tentative="1">
      <w:start w:val="1"/>
      <w:numFmt w:val="bullet"/>
      <w:lvlText w:val="•"/>
      <w:lvlJc w:val="left"/>
      <w:pPr>
        <w:tabs>
          <w:tab w:val="num" w:pos="5040"/>
        </w:tabs>
        <w:ind w:left="5040" w:hanging="360"/>
      </w:pPr>
      <w:rPr>
        <w:rFonts w:ascii="Arial" w:hAnsi="Arial" w:hint="default"/>
      </w:rPr>
    </w:lvl>
    <w:lvl w:ilvl="7" w:tplc="63FC596E" w:tentative="1">
      <w:start w:val="1"/>
      <w:numFmt w:val="bullet"/>
      <w:lvlText w:val="•"/>
      <w:lvlJc w:val="left"/>
      <w:pPr>
        <w:tabs>
          <w:tab w:val="num" w:pos="5760"/>
        </w:tabs>
        <w:ind w:left="5760" w:hanging="360"/>
      </w:pPr>
      <w:rPr>
        <w:rFonts w:ascii="Arial" w:hAnsi="Arial" w:hint="default"/>
      </w:rPr>
    </w:lvl>
    <w:lvl w:ilvl="8" w:tplc="4E2C6E0A" w:tentative="1">
      <w:start w:val="1"/>
      <w:numFmt w:val="bullet"/>
      <w:lvlText w:val="•"/>
      <w:lvlJc w:val="left"/>
      <w:pPr>
        <w:tabs>
          <w:tab w:val="num" w:pos="6480"/>
        </w:tabs>
        <w:ind w:left="6480" w:hanging="360"/>
      </w:pPr>
      <w:rPr>
        <w:rFonts w:ascii="Arial" w:hAnsi="Arial" w:hint="default"/>
      </w:rPr>
    </w:lvl>
  </w:abstractNum>
  <w:abstractNum w:abstractNumId="1">
    <w:nsid w:val="19EA543D"/>
    <w:multiLevelType w:val="hybridMultilevel"/>
    <w:tmpl w:val="CC80D8C4"/>
    <w:lvl w:ilvl="0" w:tplc="F9EC6A8A">
      <w:numFmt w:val="bullet"/>
      <w:lvlText w:val="•"/>
      <w:lvlJc w:val="left"/>
      <w:pPr>
        <w:ind w:left="360" w:hanging="360"/>
      </w:pPr>
      <w:rPr>
        <w:rFonts w:hint="default"/>
        <w:lang w:val="fr-FR" w:eastAsia="fr-FR" w:bidi="fr-FR"/>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B541CC2"/>
    <w:multiLevelType w:val="multilevel"/>
    <w:tmpl w:val="8AF0C3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itre3"/>
      <w:lvlText w:val="%1.%2.%3"/>
      <w:lvlJc w:val="left"/>
      <w:pPr>
        <w:ind w:left="720" w:hanging="720"/>
      </w:pPr>
      <w:rPr>
        <w:b/>
        <w:color w:val="404040" w:themeColor="text1" w:themeTint="BF"/>
        <w:sz w:val="22"/>
        <w:szCs w:val="22"/>
      </w:r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
    <w:nsid w:val="1E247F14"/>
    <w:multiLevelType w:val="hybridMultilevel"/>
    <w:tmpl w:val="0ABE6934"/>
    <w:lvl w:ilvl="0" w:tplc="8E76DA7C">
      <w:start w:val="1"/>
      <w:numFmt w:val="bullet"/>
      <w:lvlText w:val="•"/>
      <w:lvlJc w:val="left"/>
      <w:pPr>
        <w:tabs>
          <w:tab w:val="num" w:pos="720"/>
        </w:tabs>
        <w:ind w:left="720" w:hanging="360"/>
      </w:pPr>
      <w:rPr>
        <w:rFonts w:ascii="Arial" w:hAnsi="Arial" w:hint="default"/>
      </w:rPr>
    </w:lvl>
    <w:lvl w:ilvl="1" w:tplc="76564D1A" w:tentative="1">
      <w:start w:val="1"/>
      <w:numFmt w:val="bullet"/>
      <w:lvlText w:val="•"/>
      <w:lvlJc w:val="left"/>
      <w:pPr>
        <w:tabs>
          <w:tab w:val="num" w:pos="1440"/>
        </w:tabs>
        <w:ind w:left="1440" w:hanging="360"/>
      </w:pPr>
      <w:rPr>
        <w:rFonts w:ascii="Arial" w:hAnsi="Arial" w:hint="default"/>
      </w:rPr>
    </w:lvl>
    <w:lvl w:ilvl="2" w:tplc="5B123328" w:tentative="1">
      <w:start w:val="1"/>
      <w:numFmt w:val="bullet"/>
      <w:lvlText w:val="•"/>
      <w:lvlJc w:val="left"/>
      <w:pPr>
        <w:tabs>
          <w:tab w:val="num" w:pos="2160"/>
        </w:tabs>
        <w:ind w:left="2160" w:hanging="360"/>
      </w:pPr>
      <w:rPr>
        <w:rFonts w:ascii="Arial" w:hAnsi="Arial" w:hint="default"/>
      </w:rPr>
    </w:lvl>
    <w:lvl w:ilvl="3" w:tplc="D5A81BFA" w:tentative="1">
      <w:start w:val="1"/>
      <w:numFmt w:val="bullet"/>
      <w:lvlText w:val="•"/>
      <w:lvlJc w:val="left"/>
      <w:pPr>
        <w:tabs>
          <w:tab w:val="num" w:pos="2880"/>
        </w:tabs>
        <w:ind w:left="2880" w:hanging="360"/>
      </w:pPr>
      <w:rPr>
        <w:rFonts w:ascii="Arial" w:hAnsi="Arial" w:hint="default"/>
      </w:rPr>
    </w:lvl>
    <w:lvl w:ilvl="4" w:tplc="B3425CAE" w:tentative="1">
      <w:start w:val="1"/>
      <w:numFmt w:val="bullet"/>
      <w:lvlText w:val="•"/>
      <w:lvlJc w:val="left"/>
      <w:pPr>
        <w:tabs>
          <w:tab w:val="num" w:pos="3600"/>
        </w:tabs>
        <w:ind w:left="3600" w:hanging="360"/>
      </w:pPr>
      <w:rPr>
        <w:rFonts w:ascii="Arial" w:hAnsi="Arial" w:hint="default"/>
      </w:rPr>
    </w:lvl>
    <w:lvl w:ilvl="5" w:tplc="05A625BA" w:tentative="1">
      <w:start w:val="1"/>
      <w:numFmt w:val="bullet"/>
      <w:lvlText w:val="•"/>
      <w:lvlJc w:val="left"/>
      <w:pPr>
        <w:tabs>
          <w:tab w:val="num" w:pos="4320"/>
        </w:tabs>
        <w:ind w:left="4320" w:hanging="360"/>
      </w:pPr>
      <w:rPr>
        <w:rFonts w:ascii="Arial" w:hAnsi="Arial" w:hint="default"/>
      </w:rPr>
    </w:lvl>
    <w:lvl w:ilvl="6" w:tplc="B0F2A540" w:tentative="1">
      <w:start w:val="1"/>
      <w:numFmt w:val="bullet"/>
      <w:lvlText w:val="•"/>
      <w:lvlJc w:val="left"/>
      <w:pPr>
        <w:tabs>
          <w:tab w:val="num" w:pos="5040"/>
        </w:tabs>
        <w:ind w:left="5040" w:hanging="360"/>
      </w:pPr>
      <w:rPr>
        <w:rFonts w:ascii="Arial" w:hAnsi="Arial" w:hint="default"/>
      </w:rPr>
    </w:lvl>
    <w:lvl w:ilvl="7" w:tplc="322872AC" w:tentative="1">
      <w:start w:val="1"/>
      <w:numFmt w:val="bullet"/>
      <w:lvlText w:val="•"/>
      <w:lvlJc w:val="left"/>
      <w:pPr>
        <w:tabs>
          <w:tab w:val="num" w:pos="5760"/>
        </w:tabs>
        <w:ind w:left="5760" w:hanging="360"/>
      </w:pPr>
      <w:rPr>
        <w:rFonts w:ascii="Arial" w:hAnsi="Arial" w:hint="default"/>
      </w:rPr>
    </w:lvl>
    <w:lvl w:ilvl="8" w:tplc="BB9E20E8" w:tentative="1">
      <w:start w:val="1"/>
      <w:numFmt w:val="bullet"/>
      <w:lvlText w:val="•"/>
      <w:lvlJc w:val="left"/>
      <w:pPr>
        <w:tabs>
          <w:tab w:val="num" w:pos="6480"/>
        </w:tabs>
        <w:ind w:left="6480" w:hanging="360"/>
      </w:pPr>
      <w:rPr>
        <w:rFonts w:ascii="Arial" w:hAnsi="Arial" w:hint="default"/>
      </w:rPr>
    </w:lvl>
  </w:abstractNum>
  <w:abstractNum w:abstractNumId="4">
    <w:nsid w:val="3F4A38F2"/>
    <w:multiLevelType w:val="hybridMultilevel"/>
    <w:tmpl w:val="D1E60710"/>
    <w:lvl w:ilvl="0" w:tplc="F9EC6A8A">
      <w:numFmt w:val="bullet"/>
      <w:lvlText w:val="•"/>
      <w:lvlJc w:val="left"/>
      <w:pPr>
        <w:ind w:left="360" w:hanging="360"/>
      </w:pPr>
      <w:rPr>
        <w:rFonts w:hint="default"/>
        <w:lang w:val="fr-FR" w:eastAsia="fr-FR" w:bidi="fr-FR"/>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54F4125"/>
    <w:multiLevelType w:val="hybridMultilevel"/>
    <w:tmpl w:val="D61EF856"/>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nsid w:val="70C34B91"/>
    <w:multiLevelType w:val="hybridMultilevel"/>
    <w:tmpl w:val="D2A48F02"/>
    <w:lvl w:ilvl="0" w:tplc="1EE499CC">
      <w:start w:val="2"/>
      <w:numFmt w:val="bullet"/>
      <w:lvlText w:val="-"/>
      <w:lvlJc w:val="left"/>
      <w:pPr>
        <w:ind w:left="360" w:hanging="360"/>
      </w:pPr>
      <w:rPr>
        <w:rFonts w:ascii="Arial" w:eastAsiaTheme="minorHAnsi" w:hAnsi="Arial" w:cs="Arial" w:hint="default"/>
      </w:rPr>
    </w:lvl>
    <w:lvl w:ilvl="1" w:tplc="C4A8EF9C" w:tentative="1">
      <w:start w:val="1"/>
      <w:numFmt w:val="bullet"/>
      <w:lvlText w:val="o"/>
      <w:lvlJc w:val="left"/>
      <w:pPr>
        <w:ind w:left="1080" w:hanging="360"/>
      </w:pPr>
      <w:rPr>
        <w:rFonts w:ascii="Courier New" w:hAnsi="Courier New" w:cs="Courier New" w:hint="default"/>
      </w:rPr>
    </w:lvl>
    <w:lvl w:ilvl="2" w:tplc="F730AB72" w:tentative="1">
      <w:start w:val="1"/>
      <w:numFmt w:val="bullet"/>
      <w:lvlText w:val=""/>
      <w:lvlJc w:val="left"/>
      <w:pPr>
        <w:ind w:left="1800" w:hanging="360"/>
      </w:pPr>
      <w:rPr>
        <w:rFonts w:ascii="Wingdings" w:hAnsi="Wingdings" w:hint="default"/>
      </w:rPr>
    </w:lvl>
    <w:lvl w:ilvl="3" w:tplc="C406B0C2" w:tentative="1">
      <w:start w:val="1"/>
      <w:numFmt w:val="bullet"/>
      <w:lvlText w:val=""/>
      <w:lvlJc w:val="left"/>
      <w:pPr>
        <w:ind w:left="2520" w:hanging="360"/>
      </w:pPr>
      <w:rPr>
        <w:rFonts w:ascii="Symbol" w:hAnsi="Symbol" w:hint="default"/>
      </w:rPr>
    </w:lvl>
    <w:lvl w:ilvl="4" w:tplc="95B84FB2" w:tentative="1">
      <w:start w:val="1"/>
      <w:numFmt w:val="bullet"/>
      <w:lvlText w:val="o"/>
      <w:lvlJc w:val="left"/>
      <w:pPr>
        <w:ind w:left="3240" w:hanging="360"/>
      </w:pPr>
      <w:rPr>
        <w:rFonts w:ascii="Courier New" w:hAnsi="Courier New" w:cs="Courier New" w:hint="default"/>
      </w:rPr>
    </w:lvl>
    <w:lvl w:ilvl="5" w:tplc="F63E7490" w:tentative="1">
      <w:start w:val="1"/>
      <w:numFmt w:val="bullet"/>
      <w:lvlText w:val=""/>
      <w:lvlJc w:val="left"/>
      <w:pPr>
        <w:ind w:left="3960" w:hanging="360"/>
      </w:pPr>
      <w:rPr>
        <w:rFonts w:ascii="Wingdings" w:hAnsi="Wingdings" w:hint="default"/>
      </w:rPr>
    </w:lvl>
    <w:lvl w:ilvl="6" w:tplc="35485B80" w:tentative="1">
      <w:start w:val="1"/>
      <w:numFmt w:val="bullet"/>
      <w:lvlText w:val=""/>
      <w:lvlJc w:val="left"/>
      <w:pPr>
        <w:ind w:left="4680" w:hanging="360"/>
      </w:pPr>
      <w:rPr>
        <w:rFonts w:ascii="Symbol" w:hAnsi="Symbol" w:hint="default"/>
      </w:rPr>
    </w:lvl>
    <w:lvl w:ilvl="7" w:tplc="C1C41ABA" w:tentative="1">
      <w:start w:val="1"/>
      <w:numFmt w:val="bullet"/>
      <w:lvlText w:val="o"/>
      <w:lvlJc w:val="left"/>
      <w:pPr>
        <w:ind w:left="5400" w:hanging="360"/>
      </w:pPr>
      <w:rPr>
        <w:rFonts w:ascii="Courier New" w:hAnsi="Courier New" w:cs="Courier New" w:hint="default"/>
      </w:rPr>
    </w:lvl>
    <w:lvl w:ilvl="8" w:tplc="CF102D28"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847"/>
    <w:rsid w:val="000B7E6B"/>
    <w:rsid w:val="005012D3"/>
    <w:rsid w:val="009130EF"/>
    <w:rsid w:val="009D45EA"/>
    <w:rsid w:val="00DE584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63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847"/>
    <w:pPr>
      <w:spacing w:line="276" w:lineRule="auto"/>
    </w:pPr>
    <w:rPr>
      <w:rFonts w:ascii="Georgia" w:eastAsia="Calibri" w:hAnsi="Georgia" w:cs="Times New Roman"/>
      <w:color w:val="585756"/>
      <w:sz w:val="21"/>
      <w:lang w:val="en-GB"/>
    </w:rPr>
  </w:style>
  <w:style w:type="paragraph" w:styleId="Titre1">
    <w:name w:val="heading 1"/>
    <w:aliases w:val="Title 1"/>
    <w:basedOn w:val="Normal"/>
    <w:next w:val="Normal"/>
    <w:link w:val="Titre1Car"/>
    <w:qFormat/>
    <w:rsid w:val="00DE5847"/>
    <w:pPr>
      <w:shd w:val="clear" w:color="auto" w:fill="D81A1C"/>
      <w:autoSpaceDE w:val="0"/>
      <w:autoSpaceDN w:val="0"/>
      <w:adjustRightInd w:val="0"/>
      <w:spacing w:before="240" w:after="240"/>
      <w:outlineLvl w:val="0"/>
    </w:pPr>
    <w:rPr>
      <w:rFonts w:ascii="Calibri" w:hAnsi="Calibri" w:cs="Calibri"/>
      <w:b/>
      <w:color w:val="FFFFFF"/>
      <w:sz w:val="32"/>
      <w:szCs w:val="32"/>
    </w:rPr>
  </w:style>
  <w:style w:type="paragraph" w:styleId="Titre2">
    <w:name w:val="heading 2"/>
    <w:aliases w:val="Title 2,Chapter Title"/>
    <w:basedOn w:val="Normal"/>
    <w:next w:val="Normal"/>
    <w:link w:val="Titre2Car"/>
    <w:unhideWhenUsed/>
    <w:qFormat/>
    <w:rsid w:val="00DE5847"/>
    <w:pPr>
      <w:keepNext/>
      <w:keepLines/>
      <w:spacing w:before="120" w:after="120" w:line="240" w:lineRule="auto"/>
      <w:outlineLvl w:val="1"/>
    </w:pPr>
    <w:rPr>
      <w:rFonts w:ascii="Calibri" w:eastAsia="Times New Roman" w:hAnsi="Calibri"/>
      <w:b/>
      <w:color w:val="D81A1A"/>
      <w:sz w:val="28"/>
      <w:szCs w:val="26"/>
    </w:rPr>
  </w:style>
  <w:style w:type="paragraph" w:styleId="Titre3">
    <w:name w:val="heading 3"/>
    <w:aliases w:val="Title 3,Car"/>
    <w:basedOn w:val="Paragraphedeliste"/>
    <w:next w:val="Normal"/>
    <w:link w:val="Titre3Car"/>
    <w:unhideWhenUsed/>
    <w:qFormat/>
    <w:rsid w:val="00DE5847"/>
    <w:pPr>
      <w:numPr>
        <w:ilvl w:val="2"/>
        <w:numId w:val="1"/>
      </w:numPr>
      <w:autoSpaceDE w:val="0"/>
      <w:autoSpaceDN w:val="0"/>
      <w:adjustRightInd w:val="0"/>
      <w:spacing w:before="60" w:after="60" w:line="240" w:lineRule="auto"/>
      <w:outlineLvl w:val="2"/>
    </w:pPr>
    <w:rPr>
      <w:rFonts w:ascii="Calibri" w:hAnsi="Calibri" w:cs="Calibri-Bold"/>
      <w:b/>
      <w:bCs/>
      <w:sz w:val="24"/>
      <w:szCs w:val="24"/>
      <w:lang w:val="en-US"/>
    </w:rPr>
  </w:style>
  <w:style w:type="paragraph" w:styleId="Titre4">
    <w:name w:val="heading 4"/>
    <w:aliases w:val="Title 4"/>
    <w:basedOn w:val="Normal"/>
    <w:next w:val="Normal"/>
    <w:link w:val="Titre4Car"/>
    <w:unhideWhenUsed/>
    <w:qFormat/>
    <w:rsid w:val="00DE5847"/>
    <w:pPr>
      <w:keepNext/>
      <w:keepLines/>
      <w:numPr>
        <w:ilvl w:val="3"/>
        <w:numId w:val="1"/>
      </w:numPr>
      <w:spacing w:before="240" w:after="60"/>
      <w:ind w:left="862" w:hanging="862"/>
      <w:outlineLvl w:val="3"/>
    </w:pPr>
    <w:rPr>
      <w:rFonts w:ascii="Calibri" w:eastAsia="Times New Roman" w:hAnsi="Calibri"/>
      <w:iCs/>
      <w:lang w:val="fr-FR"/>
    </w:rPr>
  </w:style>
  <w:style w:type="paragraph" w:styleId="Titre5">
    <w:name w:val="heading 5"/>
    <w:basedOn w:val="Normal"/>
    <w:next w:val="Normal"/>
    <w:link w:val="Titre5Car"/>
    <w:unhideWhenUsed/>
    <w:qFormat/>
    <w:rsid w:val="00DE5847"/>
    <w:pPr>
      <w:keepNext/>
      <w:keepLines/>
      <w:numPr>
        <w:ilvl w:val="4"/>
        <w:numId w:val="1"/>
      </w:numPr>
      <w:spacing w:before="40" w:after="0"/>
      <w:outlineLvl w:val="4"/>
    </w:pPr>
    <w:rPr>
      <w:rFonts w:ascii="Calibri Light" w:eastAsia="Times New Roman" w:hAnsi="Calibri Light"/>
      <w:color w:val="2E74B5"/>
    </w:rPr>
  </w:style>
  <w:style w:type="paragraph" w:styleId="Titre6">
    <w:name w:val="heading 6"/>
    <w:basedOn w:val="Normal"/>
    <w:next w:val="Normal"/>
    <w:link w:val="Titre6Car"/>
    <w:unhideWhenUsed/>
    <w:qFormat/>
    <w:rsid w:val="00DE5847"/>
    <w:pPr>
      <w:keepNext/>
      <w:keepLines/>
      <w:numPr>
        <w:ilvl w:val="5"/>
        <w:numId w:val="1"/>
      </w:numPr>
      <w:spacing w:before="40" w:after="0"/>
      <w:outlineLvl w:val="5"/>
    </w:pPr>
    <w:rPr>
      <w:rFonts w:ascii="Calibri Light" w:eastAsia="Times New Roman" w:hAnsi="Calibri Light"/>
      <w:color w:val="1F4D78"/>
    </w:rPr>
  </w:style>
  <w:style w:type="paragraph" w:styleId="Titre7">
    <w:name w:val="heading 7"/>
    <w:basedOn w:val="Normal"/>
    <w:next w:val="Normal"/>
    <w:link w:val="Titre7Car"/>
    <w:unhideWhenUsed/>
    <w:qFormat/>
    <w:rsid w:val="00DE5847"/>
    <w:pPr>
      <w:keepNext/>
      <w:keepLines/>
      <w:numPr>
        <w:ilvl w:val="6"/>
        <w:numId w:val="1"/>
      </w:numPr>
      <w:spacing w:before="40" w:after="0"/>
      <w:outlineLvl w:val="6"/>
    </w:pPr>
    <w:rPr>
      <w:rFonts w:ascii="Calibri Light" w:eastAsia="Times New Roman" w:hAnsi="Calibri Light"/>
      <w:i/>
      <w:iCs/>
      <w:color w:val="1F4D78"/>
    </w:rPr>
  </w:style>
  <w:style w:type="paragraph" w:styleId="Titre8">
    <w:name w:val="heading 8"/>
    <w:basedOn w:val="Normal"/>
    <w:next w:val="Normal"/>
    <w:link w:val="Titre8Car"/>
    <w:unhideWhenUsed/>
    <w:qFormat/>
    <w:rsid w:val="00DE5847"/>
    <w:pPr>
      <w:keepNext/>
      <w:keepLines/>
      <w:numPr>
        <w:ilvl w:val="7"/>
        <w:numId w:val="1"/>
      </w:numPr>
      <w:spacing w:before="40" w:after="0"/>
      <w:outlineLvl w:val="7"/>
    </w:pPr>
    <w:rPr>
      <w:rFonts w:ascii="Calibri Light" w:eastAsia="Times New Roman" w:hAnsi="Calibri Light"/>
      <w:color w:val="272727"/>
      <w:szCs w:val="21"/>
    </w:rPr>
  </w:style>
  <w:style w:type="paragraph" w:styleId="Titre9">
    <w:name w:val="heading 9"/>
    <w:basedOn w:val="Normal"/>
    <w:next w:val="Normal"/>
    <w:link w:val="Titre9Car"/>
    <w:unhideWhenUsed/>
    <w:qFormat/>
    <w:rsid w:val="00DE5847"/>
    <w:pPr>
      <w:keepNext/>
      <w:keepLines/>
      <w:numPr>
        <w:ilvl w:val="8"/>
        <w:numId w:val="1"/>
      </w:numPr>
      <w:spacing w:before="40" w:after="0"/>
      <w:outlineLvl w:val="8"/>
    </w:pPr>
    <w:rPr>
      <w:rFonts w:ascii="Calibri Light" w:eastAsia="Times New Roman" w:hAnsi="Calibri Light"/>
      <w:i/>
      <w:iCs/>
      <w:color w:val="272727"/>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le 1 Car"/>
    <w:basedOn w:val="Policepardfaut"/>
    <w:link w:val="Titre1"/>
    <w:rsid w:val="00DE5847"/>
    <w:rPr>
      <w:rFonts w:ascii="Calibri" w:eastAsia="Calibri" w:hAnsi="Calibri" w:cs="Calibri"/>
      <w:b/>
      <w:color w:val="FFFFFF"/>
      <w:sz w:val="32"/>
      <w:szCs w:val="32"/>
      <w:shd w:val="clear" w:color="auto" w:fill="D81A1C"/>
      <w:lang w:val="en-GB"/>
    </w:rPr>
  </w:style>
  <w:style w:type="character" w:customStyle="1" w:styleId="Titre2Car">
    <w:name w:val="Titre 2 Car"/>
    <w:aliases w:val="Title 2 Car,Chapter Title Car"/>
    <w:basedOn w:val="Policepardfaut"/>
    <w:link w:val="Titre2"/>
    <w:rsid w:val="00DE5847"/>
    <w:rPr>
      <w:rFonts w:ascii="Calibri" w:eastAsia="Times New Roman" w:hAnsi="Calibri" w:cs="Times New Roman"/>
      <w:b/>
      <w:color w:val="D81A1A"/>
      <w:sz w:val="28"/>
      <w:szCs w:val="26"/>
      <w:lang w:val="en-GB"/>
    </w:rPr>
  </w:style>
  <w:style w:type="character" w:customStyle="1" w:styleId="Titre3Car">
    <w:name w:val="Titre 3 Car"/>
    <w:aliases w:val="Title 3 Car,Car Car"/>
    <w:basedOn w:val="Policepardfaut"/>
    <w:link w:val="Titre3"/>
    <w:rsid w:val="00DE5847"/>
    <w:rPr>
      <w:rFonts w:ascii="Calibri" w:eastAsia="Calibri" w:hAnsi="Calibri" w:cs="Calibri-Bold"/>
      <w:b/>
      <w:bCs/>
      <w:color w:val="585756"/>
      <w:sz w:val="24"/>
      <w:szCs w:val="24"/>
      <w:lang w:val="en-US"/>
    </w:rPr>
  </w:style>
  <w:style w:type="character" w:customStyle="1" w:styleId="Titre4Car">
    <w:name w:val="Titre 4 Car"/>
    <w:aliases w:val="Title 4 Car"/>
    <w:basedOn w:val="Policepardfaut"/>
    <w:link w:val="Titre4"/>
    <w:rsid w:val="00DE5847"/>
    <w:rPr>
      <w:rFonts w:ascii="Calibri" w:eastAsia="Times New Roman" w:hAnsi="Calibri" w:cs="Times New Roman"/>
      <w:iCs/>
      <w:color w:val="585756"/>
      <w:sz w:val="21"/>
      <w:lang w:val="fr-FR"/>
    </w:rPr>
  </w:style>
  <w:style w:type="character" w:customStyle="1" w:styleId="Titre5Car">
    <w:name w:val="Titre 5 Car"/>
    <w:basedOn w:val="Policepardfaut"/>
    <w:link w:val="Titre5"/>
    <w:rsid w:val="00DE5847"/>
    <w:rPr>
      <w:rFonts w:ascii="Calibri Light" w:eastAsia="Times New Roman" w:hAnsi="Calibri Light" w:cs="Times New Roman"/>
      <w:color w:val="2E74B5"/>
      <w:sz w:val="21"/>
      <w:lang w:val="en-GB"/>
    </w:rPr>
  </w:style>
  <w:style w:type="character" w:customStyle="1" w:styleId="Titre6Car">
    <w:name w:val="Titre 6 Car"/>
    <w:basedOn w:val="Policepardfaut"/>
    <w:link w:val="Titre6"/>
    <w:rsid w:val="00DE5847"/>
    <w:rPr>
      <w:rFonts w:ascii="Calibri Light" w:eastAsia="Times New Roman" w:hAnsi="Calibri Light" w:cs="Times New Roman"/>
      <w:color w:val="1F4D78"/>
      <w:sz w:val="21"/>
      <w:lang w:val="en-GB"/>
    </w:rPr>
  </w:style>
  <w:style w:type="character" w:customStyle="1" w:styleId="Titre7Car">
    <w:name w:val="Titre 7 Car"/>
    <w:basedOn w:val="Policepardfaut"/>
    <w:link w:val="Titre7"/>
    <w:rsid w:val="00DE5847"/>
    <w:rPr>
      <w:rFonts w:ascii="Calibri Light" w:eastAsia="Times New Roman" w:hAnsi="Calibri Light" w:cs="Times New Roman"/>
      <w:i/>
      <w:iCs/>
      <w:color w:val="1F4D78"/>
      <w:sz w:val="21"/>
      <w:lang w:val="en-GB"/>
    </w:rPr>
  </w:style>
  <w:style w:type="character" w:customStyle="1" w:styleId="Titre8Car">
    <w:name w:val="Titre 8 Car"/>
    <w:basedOn w:val="Policepardfaut"/>
    <w:link w:val="Titre8"/>
    <w:rsid w:val="00DE5847"/>
    <w:rPr>
      <w:rFonts w:ascii="Calibri Light" w:eastAsia="Times New Roman" w:hAnsi="Calibri Light" w:cs="Times New Roman"/>
      <w:color w:val="272727"/>
      <w:sz w:val="21"/>
      <w:szCs w:val="21"/>
      <w:lang w:val="en-GB"/>
    </w:rPr>
  </w:style>
  <w:style w:type="character" w:customStyle="1" w:styleId="Titre9Car">
    <w:name w:val="Titre 9 Car"/>
    <w:basedOn w:val="Policepardfaut"/>
    <w:link w:val="Titre9"/>
    <w:rsid w:val="00DE5847"/>
    <w:rPr>
      <w:rFonts w:ascii="Calibri Light" w:eastAsia="Times New Roman" w:hAnsi="Calibri Light" w:cs="Times New Roman"/>
      <w:i/>
      <w:iCs/>
      <w:color w:val="272727"/>
      <w:sz w:val="21"/>
      <w:szCs w:val="21"/>
      <w:lang w:val="en-GB"/>
    </w:rPr>
  </w:style>
  <w:style w:type="paragraph" w:styleId="Corpsdetexte">
    <w:name w:val="Body Text"/>
    <w:basedOn w:val="Normal"/>
    <w:link w:val="CorpsdetexteCar"/>
    <w:semiHidden/>
    <w:rsid w:val="00DE5847"/>
    <w:pPr>
      <w:spacing w:after="0" w:line="240" w:lineRule="auto"/>
    </w:pPr>
    <w:rPr>
      <w:rFonts w:ascii="Arial" w:eastAsia="Times New Roman" w:hAnsi="Arial" w:cs="Arial"/>
      <w:color w:val="auto"/>
      <w:sz w:val="20"/>
      <w:szCs w:val="24"/>
      <w:lang w:val="fr-BE"/>
    </w:rPr>
  </w:style>
  <w:style w:type="character" w:customStyle="1" w:styleId="CorpsdetexteCar">
    <w:name w:val="Corps de texte Car"/>
    <w:basedOn w:val="Policepardfaut"/>
    <w:link w:val="Corpsdetexte"/>
    <w:semiHidden/>
    <w:rsid w:val="00DE5847"/>
    <w:rPr>
      <w:rFonts w:ascii="Arial" w:eastAsia="Times New Roman" w:hAnsi="Arial" w:cs="Arial"/>
      <w:sz w:val="20"/>
      <w:szCs w:val="24"/>
    </w:rPr>
  </w:style>
  <w:style w:type="paragraph" w:styleId="NormalWeb">
    <w:name w:val="Normal (Web)"/>
    <w:basedOn w:val="Normal"/>
    <w:uiPriority w:val="99"/>
    <w:unhideWhenUsed/>
    <w:rsid w:val="00DE5847"/>
    <w:pPr>
      <w:spacing w:before="100" w:beforeAutospacing="1" w:after="100" w:afterAutospacing="1" w:line="240" w:lineRule="auto"/>
    </w:pPr>
    <w:rPr>
      <w:rFonts w:ascii="Times New Roman" w:eastAsia="Times New Roman" w:hAnsi="Times New Roman"/>
      <w:color w:val="auto"/>
      <w:sz w:val="24"/>
      <w:szCs w:val="24"/>
      <w:lang w:val="en-US"/>
    </w:rPr>
  </w:style>
  <w:style w:type="paragraph" w:styleId="Paragraphedeliste">
    <w:name w:val="List Paragraph"/>
    <w:basedOn w:val="Normal"/>
    <w:uiPriority w:val="34"/>
    <w:qFormat/>
    <w:rsid w:val="00DE5847"/>
    <w:pPr>
      <w:ind w:left="720"/>
      <w:contextualSpacing/>
    </w:pPr>
  </w:style>
  <w:style w:type="paragraph" w:styleId="Notedebasdepage">
    <w:name w:val="footnote text"/>
    <w:aliases w:val="12pt"/>
    <w:basedOn w:val="Normal"/>
    <w:link w:val="NotedebasdepageCar1"/>
    <w:semiHidden/>
    <w:unhideWhenUsed/>
    <w:qFormat/>
    <w:rsid w:val="00DE5847"/>
    <w:pPr>
      <w:spacing w:after="0" w:line="240" w:lineRule="auto"/>
    </w:pPr>
    <w:rPr>
      <w:rFonts w:ascii="Calibri" w:hAnsi="Calibri"/>
      <w:sz w:val="14"/>
      <w:szCs w:val="20"/>
    </w:rPr>
  </w:style>
  <w:style w:type="character" w:customStyle="1" w:styleId="NotedebasdepageCar">
    <w:name w:val="Note de bas de page Car"/>
    <w:basedOn w:val="Policepardfaut"/>
    <w:uiPriority w:val="99"/>
    <w:semiHidden/>
    <w:rsid w:val="00DE5847"/>
    <w:rPr>
      <w:rFonts w:ascii="Georgia" w:eastAsia="Calibri" w:hAnsi="Georgia" w:cs="Times New Roman"/>
      <w:color w:val="585756"/>
      <w:sz w:val="20"/>
      <w:szCs w:val="20"/>
      <w:lang w:val="en-GB"/>
    </w:rPr>
  </w:style>
  <w:style w:type="character" w:customStyle="1" w:styleId="NotedebasdepageCar1">
    <w:name w:val="Note de bas de page Car1"/>
    <w:aliases w:val="12pt Car"/>
    <w:link w:val="Notedebasdepage"/>
    <w:semiHidden/>
    <w:rsid w:val="00DE5847"/>
    <w:rPr>
      <w:rFonts w:ascii="Calibri" w:eastAsia="Calibri" w:hAnsi="Calibri" w:cs="Times New Roman"/>
      <w:color w:val="585756"/>
      <w:sz w:val="14"/>
      <w:szCs w:val="20"/>
      <w:lang w:val="en-GB"/>
    </w:rPr>
  </w:style>
  <w:style w:type="character" w:styleId="Appelnotedebasdep">
    <w:name w:val="footnote reference"/>
    <w:semiHidden/>
    <w:unhideWhenUsed/>
    <w:rsid w:val="00DE584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847"/>
    <w:pPr>
      <w:spacing w:line="276" w:lineRule="auto"/>
    </w:pPr>
    <w:rPr>
      <w:rFonts w:ascii="Georgia" w:eastAsia="Calibri" w:hAnsi="Georgia" w:cs="Times New Roman"/>
      <w:color w:val="585756"/>
      <w:sz w:val="21"/>
      <w:lang w:val="en-GB"/>
    </w:rPr>
  </w:style>
  <w:style w:type="paragraph" w:styleId="Titre1">
    <w:name w:val="heading 1"/>
    <w:aliases w:val="Title 1"/>
    <w:basedOn w:val="Normal"/>
    <w:next w:val="Normal"/>
    <w:link w:val="Titre1Car"/>
    <w:qFormat/>
    <w:rsid w:val="00DE5847"/>
    <w:pPr>
      <w:shd w:val="clear" w:color="auto" w:fill="D81A1C"/>
      <w:autoSpaceDE w:val="0"/>
      <w:autoSpaceDN w:val="0"/>
      <w:adjustRightInd w:val="0"/>
      <w:spacing w:before="240" w:after="240"/>
      <w:outlineLvl w:val="0"/>
    </w:pPr>
    <w:rPr>
      <w:rFonts w:ascii="Calibri" w:hAnsi="Calibri" w:cs="Calibri"/>
      <w:b/>
      <w:color w:val="FFFFFF"/>
      <w:sz w:val="32"/>
      <w:szCs w:val="32"/>
    </w:rPr>
  </w:style>
  <w:style w:type="paragraph" w:styleId="Titre2">
    <w:name w:val="heading 2"/>
    <w:aliases w:val="Title 2,Chapter Title"/>
    <w:basedOn w:val="Normal"/>
    <w:next w:val="Normal"/>
    <w:link w:val="Titre2Car"/>
    <w:unhideWhenUsed/>
    <w:qFormat/>
    <w:rsid w:val="00DE5847"/>
    <w:pPr>
      <w:keepNext/>
      <w:keepLines/>
      <w:spacing w:before="120" w:after="120" w:line="240" w:lineRule="auto"/>
      <w:outlineLvl w:val="1"/>
    </w:pPr>
    <w:rPr>
      <w:rFonts w:ascii="Calibri" w:eastAsia="Times New Roman" w:hAnsi="Calibri"/>
      <w:b/>
      <w:color w:val="D81A1A"/>
      <w:sz w:val="28"/>
      <w:szCs w:val="26"/>
    </w:rPr>
  </w:style>
  <w:style w:type="paragraph" w:styleId="Titre3">
    <w:name w:val="heading 3"/>
    <w:aliases w:val="Title 3,Car"/>
    <w:basedOn w:val="Paragraphedeliste"/>
    <w:next w:val="Normal"/>
    <w:link w:val="Titre3Car"/>
    <w:unhideWhenUsed/>
    <w:qFormat/>
    <w:rsid w:val="00DE5847"/>
    <w:pPr>
      <w:numPr>
        <w:ilvl w:val="2"/>
        <w:numId w:val="1"/>
      </w:numPr>
      <w:autoSpaceDE w:val="0"/>
      <w:autoSpaceDN w:val="0"/>
      <w:adjustRightInd w:val="0"/>
      <w:spacing w:before="60" w:after="60" w:line="240" w:lineRule="auto"/>
      <w:outlineLvl w:val="2"/>
    </w:pPr>
    <w:rPr>
      <w:rFonts w:ascii="Calibri" w:hAnsi="Calibri" w:cs="Calibri-Bold"/>
      <w:b/>
      <w:bCs/>
      <w:sz w:val="24"/>
      <w:szCs w:val="24"/>
      <w:lang w:val="en-US"/>
    </w:rPr>
  </w:style>
  <w:style w:type="paragraph" w:styleId="Titre4">
    <w:name w:val="heading 4"/>
    <w:aliases w:val="Title 4"/>
    <w:basedOn w:val="Normal"/>
    <w:next w:val="Normal"/>
    <w:link w:val="Titre4Car"/>
    <w:unhideWhenUsed/>
    <w:qFormat/>
    <w:rsid w:val="00DE5847"/>
    <w:pPr>
      <w:keepNext/>
      <w:keepLines/>
      <w:numPr>
        <w:ilvl w:val="3"/>
        <w:numId w:val="1"/>
      </w:numPr>
      <w:spacing w:before="240" w:after="60"/>
      <w:ind w:left="862" w:hanging="862"/>
      <w:outlineLvl w:val="3"/>
    </w:pPr>
    <w:rPr>
      <w:rFonts w:ascii="Calibri" w:eastAsia="Times New Roman" w:hAnsi="Calibri"/>
      <w:iCs/>
      <w:lang w:val="fr-FR"/>
    </w:rPr>
  </w:style>
  <w:style w:type="paragraph" w:styleId="Titre5">
    <w:name w:val="heading 5"/>
    <w:basedOn w:val="Normal"/>
    <w:next w:val="Normal"/>
    <w:link w:val="Titre5Car"/>
    <w:unhideWhenUsed/>
    <w:qFormat/>
    <w:rsid w:val="00DE5847"/>
    <w:pPr>
      <w:keepNext/>
      <w:keepLines/>
      <w:numPr>
        <w:ilvl w:val="4"/>
        <w:numId w:val="1"/>
      </w:numPr>
      <w:spacing w:before="40" w:after="0"/>
      <w:outlineLvl w:val="4"/>
    </w:pPr>
    <w:rPr>
      <w:rFonts w:ascii="Calibri Light" w:eastAsia="Times New Roman" w:hAnsi="Calibri Light"/>
      <w:color w:val="2E74B5"/>
    </w:rPr>
  </w:style>
  <w:style w:type="paragraph" w:styleId="Titre6">
    <w:name w:val="heading 6"/>
    <w:basedOn w:val="Normal"/>
    <w:next w:val="Normal"/>
    <w:link w:val="Titre6Car"/>
    <w:unhideWhenUsed/>
    <w:qFormat/>
    <w:rsid w:val="00DE5847"/>
    <w:pPr>
      <w:keepNext/>
      <w:keepLines/>
      <w:numPr>
        <w:ilvl w:val="5"/>
        <w:numId w:val="1"/>
      </w:numPr>
      <w:spacing w:before="40" w:after="0"/>
      <w:outlineLvl w:val="5"/>
    </w:pPr>
    <w:rPr>
      <w:rFonts w:ascii="Calibri Light" w:eastAsia="Times New Roman" w:hAnsi="Calibri Light"/>
      <w:color w:val="1F4D78"/>
    </w:rPr>
  </w:style>
  <w:style w:type="paragraph" w:styleId="Titre7">
    <w:name w:val="heading 7"/>
    <w:basedOn w:val="Normal"/>
    <w:next w:val="Normal"/>
    <w:link w:val="Titre7Car"/>
    <w:unhideWhenUsed/>
    <w:qFormat/>
    <w:rsid w:val="00DE5847"/>
    <w:pPr>
      <w:keepNext/>
      <w:keepLines/>
      <w:numPr>
        <w:ilvl w:val="6"/>
        <w:numId w:val="1"/>
      </w:numPr>
      <w:spacing w:before="40" w:after="0"/>
      <w:outlineLvl w:val="6"/>
    </w:pPr>
    <w:rPr>
      <w:rFonts w:ascii="Calibri Light" w:eastAsia="Times New Roman" w:hAnsi="Calibri Light"/>
      <w:i/>
      <w:iCs/>
      <w:color w:val="1F4D78"/>
    </w:rPr>
  </w:style>
  <w:style w:type="paragraph" w:styleId="Titre8">
    <w:name w:val="heading 8"/>
    <w:basedOn w:val="Normal"/>
    <w:next w:val="Normal"/>
    <w:link w:val="Titre8Car"/>
    <w:unhideWhenUsed/>
    <w:qFormat/>
    <w:rsid w:val="00DE5847"/>
    <w:pPr>
      <w:keepNext/>
      <w:keepLines/>
      <w:numPr>
        <w:ilvl w:val="7"/>
        <w:numId w:val="1"/>
      </w:numPr>
      <w:spacing w:before="40" w:after="0"/>
      <w:outlineLvl w:val="7"/>
    </w:pPr>
    <w:rPr>
      <w:rFonts w:ascii="Calibri Light" w:eastAsia="Times New Roman" w:hAnsi="Calibri Light"/>
      <w:color w:val="272727"/>
      <w:szCs w:val="21"/>
    </w:rPr>
  </w:style>
  <w:style w:type="paragraph" w:styleId="Titre9">
    <w:name w:val="heading 9"/>
    <w:basedOn w:val="Normal"/>
    <w:next w:val="Normal"/>
    <w:link w:val="Titre9Car"/>
    <w:unhideWhenUsed/>
    <w:qFormat/>
    <w:rsid w:val="00DE5847"/>
    <w:pPr>
      <w:keepNext/>
      <w:keepLines/>
      <w:numPr>
        <w:ilvl w:val="8"/>
        <w:numId w:val="1"/>
      </w:numPr>
      <w:spacing w:before="40" w:after="0"/>
      <w:outlineLvl w:val="8"/>
    </w:pPr>
    <w:rPr>
      <w:rFonts w:ascii="Calibri Light" w:eastAsia="Times New Roman" w:hAnsi="Calibri Light"/>
      <w:i/>
      <w:iCs/>
      <w:color w:val="272727"/>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le 1 Car"/>
    <w:basedOn w:val="Policepardfaut"/>
    <w:link w:val="Titre1"/>
    <w:rsid w:val="00DE5847"/>
    <w:rPr>
      <w:rFonts w:ascii="Calibri" w:eastAsia="Calibri" w:hAnsi="Calibri" w:cs="Calibri"/>
      <w:b/>
      <w:color w:val="FFFFFF"/>
      <w:sz w:val="32"/>
      <w:szCs w:val="32"/>
      <w:shd w:val="clear" w:color="auto" w:fill="D81A1C"/>
      <w:lang w:val="en-GB"/>
    </w:rPr>
  </w:style>
  <w:style w:type="character" w:customStyle="1" w:styleId="Titre2Car">
    <w:name w:val="Titre 2 Car"/>
    <w:aliases w:val="Title 2 Car,Chapter Title Car"/>
    <w:basedOn w:val="Policepardfaut"/>
    <w:link w:val="Titre2"/>
    <w:rsid w:val="00DE5847"/>
    <w:rPr>
      <w:rFonts w:ascii="Calibri" w:eastAsia="Times New Roman" w:hAnsi="Calibri" w:cs="Times New Roman"/>
      <w:b/>
      <w:color w:val="D81A1A"/>
      <w:sz w:val="28"/>
      <w:szCs w:val="26"/>
      <w:lang w:val="en-GB"/>
    </w:rPr>
  </w:style>
  <w:style w:type="character" w:customStyle="1" w:styleId="Titre3Car">
    <w:name w:val="Titre 3 Car"/>
    <w:aliases w:val="Title 3 Car,Car Car"/>
    <w:basedOn w:val="Policepardfaut"/>
    <w:link w:val="Titre3"/>
    <w:rsid w:val="00DE5847"/>
    <w:rPr>
      <w:rFonts w:ascii="Calibri" w:eastAsia="Calibri" w:hAnsi="Calibri" w:cs="Calibri-Bold"/>
      <w:b/>
      <w:bCs/>
      <w:color w:val="585756"/>
      <w:sz w:val="24"/>
      <w:szCs w:val="24"/>
      <w:lang w:val="en-US"/>
    </w:rPr>
  </w:style>
  <w:style w:type="character" w:customStyle="1" w:styleId="Titre4Car">
    <w:name w:val="Titre 4 Car"/>
    <w:aliases w:val="Title 4 Car"/>
    <w:basedOn w:val="Policepardfaut"/>
    <w:link w:val="Titre4"/>
    <w:rsid w:val="00DE5847"/>
    <w:rPr>
      <w:rFonts w:ascii="Calibri" w:eastAsia="Times New Roman" w:hAnsi="Calibri" w:cs="Times New Roman"/>
      <w:iCs/>
      <w:color w:val="585756"/>
      <w:sz w:val="21"/>
      <w:lang w:val="fr-FR"/>
    </w:rPr>
  </w:style>
  <w:style w:type="character" w:customStyle="1" w:styleId="Titre5Car">
    <w:name w:val="Titre 5 Car"/>
    <w:basedOn w:val="Policepardfaut"/>
    <w:link w:val="Titre5"/>
    <w:rsid w:val="00DE5847"/>
    <w:rPr>
      <w:rFonts w:ascii="Calibri Light" w:eastAsia="Times New Roman" w:hAnsi="Calibri Light" w:cs="Times New Roman"/>
      <w:color w:val="2E74B5"/>
      <w:sz w:val="21"/>
      <w:lang w:val="en-GB"/>
    </w:rPr>
  </w:style>
  <w:style w:type="character" w:customStyle="1" w:styleId="Titre6Car">
    <w:name w:val="Titre 6 Car"/>
    <w:basedOn w:val="Policepardfaut"/>
    <w:link w:val="Titre6"/>
    <w:rsid w:val="00DE5847"/>
    <w:rPr>
      <w:rFonts w:ascii="Calibri Light" w:eastAsia="Times New Roman" w:hAnsi="Calibri Light" w:cs="Times New Roman"/>
      <w:color w:val="1F4D78"/>
      <w:sz w:val="21"/>
      <w:lang w:val="en-GB"/>
    </w:rPr>
  </w:style>
  <w:style w:type="character" w:customStyle="1" w:styleId="Titre7Car">
    <w:name w:val="Titre 7 Car"/>
    <w:basedOn w:val="Policepardfaut"/>
    <w:link w:val="Titre7"/>
    <w:rsid w:val="00DE5847"/>
    <w:rPr>
      <w:rFonts w:ascii="Calibri Light" w:eastAsia="Times New Roman" w:hAnsi="Calibri Light" w:cs="Times New Roman"/>
      <w:i/>
      <w:iCs/>
      <w:color w:val="1F4D78"/>
      <w:sz w:val="21"/>
      <w:lang w:val="en-GB"/>
    </w:rPr>
  </w:style>
  <w:style w:type="character" w:customStyle="1" w:styleId="Titre8Car">
    <w:name w:val="Titre 8 Car"/>
    <w:basedOn w:val="Policepardfaut"/>
    <w:link w:val="Titre8"/>
    <w:rsid w:val="00DE5847"/>
    <w:rPr>
      <w:rFonts w:ascii="Calibri Light" w:eastAsia="Times New Roman" w:hAnsi="Calibri Light" w:cs="Times New Roman"/>
      <w:color w:val="272727"/>
      <w:sz w:val="21"/>
      <w:szCs w:val="21"/>
      <w:lang w:val="en-GB"/>
    </w:rPr>
  </w:style>
  <w:style w:type="character" w:customStyle="1" w:styleId="Titre9Car">
    <w:name w:val="Titre 9 Car"/>
    <w:basedOn w:val="Policepardfaut"/>
    <w:link w:val="Titre9"/>
    <w:rsid w:val="00DE5847"/>
    <w:rPr>
      <w:rFonts w:ascii="Calibri Light" w:eastAsia="Times New Roman" w:hAnsi="Calibri Light" w:cs="Times New Roman"/>
      <w:i/>
      <w:iCs/>
      <w:color w:val="272727"/>
      <w:sz w:val="21"/>
      <w:szCs w:val="21"/>
      <w:lang w:val="en-GB"/>
    </w:rPr>
  </w:style>
  <w:style w:type="paragraph" w:styleId="Corpsdetexte">
    <w:name w:val="Body Text"/>
    <w:basedOn w:val="Normal"/>
    <w:link w:val="CorpsdetexteCar"/>
    <w:semiHidden/>
    <w:rsid w:val="00DE5847"/>
    <w:pPr>
      <w:spacing w:after="0" w:line="240" w:lineRule="auto"/>
    </w:pPr>
    <w:rPr>
      <w:rFonts w:ascii="Arial" w:eastAsia="Times New Roman" w:hAnsi="Arial" w:cs="Arial"/>
      <w:color w:val="auto"/>
      <w:sz w:val="20"/>
      <w:szCs w:val="24"/>
      <w:lang w:val="fr-BE"/>
    </w:rPr>
  </w:style>
  <w:style w:type="character" w:customStyle="1" w:styleId="CorpsdetexteCar">
    <w:name w:val="Corps de texte Car"/>
    <w:basedOn w:val="Policepardfaut"/>
    <w:link w:val="Corpsdetexte"/>
    <w:semiHidden/>
    <w:rsid w:val="00DE5847"/>
    <w:rPr>
      <w:rFonts w:ascii="Arial" w:eastAsia="Times New Roman" w:hAnsi="Arial" w:cs="Arial"/>
      <w:sz w:val="20"/>
      <w:szCs w:val="24"/>
    </w:rPr>
  </w:style>
  <w:style w:type="paragraph" w:styleId="NormalWeb">
    <w:name w:val="Normal (Web)"/>
    <w:basedOn w:val="Normal"/>
    <w:uiPriority w:val="99"/>
    <w:unhideWhenUsed/>
    <w:rsid w:val="00DE5847"/>
    <w:pPr>
      <w:spacing w:before="100" w:beforeAutospacing="1" w:after="100" w:afterAutospacing="1" w:line="240" w:lineRule="auto"/>
    </w:pPr>
    <w:rPr>
      <w:rFonts w:ascii="Times New Roman" w:eastAsia="Times New Roman" w:hAnsi="Times New Roman"/>
      <w:color w:val="auto"/>
      <w:sz w:val="24"/>
      <w:szCs w:val="24"/>
      <w:lang w:val="en-US"/>
    </w:rPr>
  </w:style>
  <w:style w:type="paragraph" w:styleId="Paragraphedeliste">
    <w:name w:val="List Paragraph"/>
    <w:basedOn w:val="Normal"/>
    <w:uiPriority w:val="34"/>
    <w:qFormat/>
    <w:rsid w:val="00DE5847"/>
    <w:pPr>
      <w:ind w:left="720"/>
      <w:contextualSpacing/>
    </w:pPr>
  </w:style>
  <w:style w:type="paragraph" w:styleId="Notedebasdepage">
    <w:name w:val="footnote text"/>
    <w:aliases w:val="12pt"/>
    <w:basedOn w:val="Normal"/>
    <w:link w:val="NotedebasdepageCar1"/>
    <w:semiHidden/>
    <w:unhideWhenUsed/>
    <w:qFormat/>
    <w:rsid w:val="00DE5847"/>
    <w:pPr>
      <w:spacing w:after="0" w:line="240" w:lineRule="auto"/>
    </w:pPr>
    <w:rPr>
      <w:rFonts w:ascii="Calibri" w:hAnsi="Calibri"/>
      <w:sz w:val="14"/>
      <w:szCs w:val="20"/>
    </w:rPr>
  </w:style>
  <w:style w:type="character" w:customStyle="1" w:styleId="NotedebasdepageCar">
    <w:name w:val="Note de bas de page Car"/>
    <w:basedOn w:val="Policepardfaut"/>
    <w:uiPriority w:val="99"/>
    <w:semiHidden/>
    <w:rsid w:val="00DE5847"/>
    <w:rPr>
      <w:rFonts w:ascii="Georgia" w:eastAsia="Calibri" w:hAnsi="Georgia" w:cs="Times New Roman"/>
      <w:color w:val="585756"/>
      <w:sz w:val="20"/>
      <w:szCs w:val="20"/>
      <w:lang w:val="en-GB"/>
    </w:rPr>
  </w:style>
  <w:style w:type="character" w:customStyle="1" w:styleId="NotedebasdepageCar1">
    <w:name w:val="Note de bas de page Car1"/>
    <w:aliases w:val="12pt Car"/>
    <w:link w:val="Notedebasdepage"/>
    <w:semiHidden/>
    <w:rsid w:val="00DE5847"/>
    <w:rPr>
      <w:rFonts w:ascii="Calibri" w:eastAsia="Calibri" w:hAnsi="Calibri" w:cs="Times New Roman"/>
      <w:color w:val="585756"/>
      <w:sz w:val="14"/>
      <w:szCs w:val="20"/>
      <w:lang w:val="en-GB"/>
    </w:rPr>
  </w:style>
  <w:style w:type="character" w:styleId="Appelnotedebasdep">
    <w:name w:val="footnote reference"/>
    <w:semiHidden/>
    <w:unhideWhenUsed/>
    <w:rsid w:val="00DE58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1276</Words>
  <Characters>7021</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8281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jean-luc mutombo</dc:creator>
  <cp:keywords/>
  <dc:description/>
  <cp:lastModifiedBy>CEYSSENS, Claire</cp:lastModifiedBy>
  <cp:revision>3</cp:revision>
  <dcterms:created xsi:type="dcterms:W3CDTF">2018-07-27T14:48:00Z</dcterms:created>
  <dcterms:modified xsi:type="dcterms:W3CDTF">2018-07-30T12:06:00Z</dcterms:modified>
</cp:coreProperties>
</file>