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47516" w14:textId="5C1C71A3" w:rsidR="008B78D8" w:rsidRPr="009C7B50" w:rsidRDefault="00A1053F" w:rsidP="00A1053F">
      <w:pPr>
        <w:pStyle w:val="Titre1"/>
        <w:spacing w:before="0" w:after="160"/>
        <w:rPr>
          <w:rFonts w:ascii="Georgia" w:hAnsi="Georgia"/>
        </w:rPr>
      </w:pPr>
      <w:r w:rsidRPr="009C7B50">
        <w:rPr>
          <w:rFonts w:ascii="Georgia" w:hAnsi="Georgia"/>
        </w:rPr>
        <w:t>RESUME</w:t>
      </w:r>
      <w:r w:rsidR="000A0A8E">
        <w:rPr>
          <w:rFonts w:ascii="Georgia" w:hAnsi="Georgia"/>
        </w:rPr>
        <w:t>N</w:t>
      </w:r>
      <w:r w:rsidRPr="009C7B50">
        <w:rPr>
          <w:rFonts w:ascii="Georgia" w:hAnsi="Georgia"/>
        </w:rPr>
        <w:t xml:space="preserve"> E</w:t>
      </w:r>
      <w:r w:rsidR="000A0A8E">
        <w:rPr>
          <w:rFonts w:ascii="Georgia" w:hAnsi="Georgia"/>
        </w:rPr>
        <w:t>JECUTIVO</w:t>
      </w:r>
      <w:bookmarkStart w:id="0" w:name="_GoBack"/>
      <w:bookmarkEnd w:id="0"/>
      <w:r w:rsidRPr="009C7B50">
        <w:rPr>
          <w:rFonts w:ascii="Georgia" w:hAnsi="Georgia"/>
        </w:rPr>
        <w:t xml:space="preserve"> </w:t>
      </w:r>
    </w:p>
    <w:p w14:paraId="003C86D7" w14:textId="7C686DB0" w:rsidR="00A1053F" w:rsidRPr="00A1053F" w:rsidRDefault="009C7B50" w:rsidP="00A1053F">
      <w:pPr>
        <w:pStyle w:val="Titre2"/>
        <w:spacing w:before="0" w:after="160"/>
        <w:ind w:left="576" w:hanging="576"/>
        <w:rPr>
          <w:rFonts w:ascii="Georgia" w:hAnsi="Georgia"/>
        </w:rPr>
      </w:pPr>
      <w:r>
        <w:rPr>
          <w:rFonts w:ascii="Georgia" w:hAnsi="Georgia"/>
        </w:rPr>
        <w:t xml:space="preserve">ETR </w:t>
      </w:r>
      <w:r w:rsidR="000A0A8E">
        <w:rPr>
          <w:rFonts w:ascii="Georgia" w:hAnsi="Georgia"/>
        </w:rPr>
        <w:t>PER1001811 PRODERN</w:t>
      </w:r>
    </w:p>
    <w:p w14:paraId="12134158" w14:textId="77777777" w:rsidR="000A0A8E" w:rsidRPr="000A0A8E" w:rsidRDefault="000A0A8E" w:rsidP="000A0A8E">
      <w:pPr>
        <w:rPr>
          <w:b/>
          <w:i/>
          <w:color w:val="404040"/>
        </w:rPr>
      </w:pPr>
      <w:r w:rsidRPr="000A0A8E">
        <w:rPr>
          <w:b/>
          <w:i/>
          <w:color w:val="404040"/>
        </w:rPr>
        <w:t xml:space="preserve">El PRODERN, su </w:t>
      </w:r>
      <w:proofErr w:type="spellStart"/>
      <w:r w:rsidRPr="000A0A8E">
        <w:rPr>
          <w:b/>
          <w:i/>
          <w:color w:val="404040"/>
        </w:rPr>
        <w:t>contexto</w:t>
      </w:r>
      <w:proofErr w:type="spellEnd"/>
      <w:r w:rsidRPr="000A0A8E">
        <w:rPr>
          <w:b/>
          <w:i/>
          <w:color w:val="404040"/>
        </w:rPr>
        <w:t xml:space="preserve"> y </w:t>
      </w:r>
      <w:proofErr w:type="spellStart"/>
      <w:r w:rsidRPr="000A0A8E">
        <w:rPr>
          <w:b/>
          <w:i/>
          <w:color w:val="404040"/>
        </w:rPr>
        <w:t>estrategia</w:t>
      </w:r>
      <w:proofErr w:type="spellEnd"/>
    </w:p>
    <w:p w14:paraId="07BE83BF" w14:textId="77777777" w:rsidR="000A0A8E" w:rsidRPr="000A0A8E" w:rsidRDefault="000A0A8E" w:rsidP="000A0A8E">
      <w:pPr>
        <w:rPr>
          <w:lang w:eastAsia="es-EC"/>
        </w:rPr>
      </w:pPr>
      <w:r w:rsidRPr="00EE2D20">
        <w:t xml:space="preserve">El OE </w:t>
      </w:r>
      <w:proofErr w:type="spellStart"/>
      <w:r>
        <w:t>del</w:t>
      </w:r>
      <w:proofErr w:type="spellEnd"/>
      <w:r>
        <w:t xml:space="preserve"> PRODERN II </w:t>
      </w:r>
      <w:proofErr w:type="spellStart"/>
      <w:r>
        <w:t>lo</w:t>
      </w:r>
      <w:proofErr w:type="spellEnd"/>
      <w:r>
        <w:t xml:space="preserve"> </w:t>
      </w:r>
      <w:proofErr w:type="spellStart"/>
      <w:r w:rsidRPr="00EE2D20">
        <w:t>resume</w:t>
      </w:r>
      <w:proofErr w:type="spellEnd"/>
      <w:r w:rsidRPr="00EE2D20">
        <w:t xml:space="preserve"> </w:t>
      </w:r>
      <w:proofErr w:type="spellStart"/>
      <w:r w:rsidRPr="00EE2D20">
        <w:t>todo</w:t>
      </w:r>
      <w:proofErr w:type="spellEnd"/>
      <w:r w:rsidRPr="00EE2D20">
        <w:t xml:space="preserve"> en </w:t>
      </w:r>
      <w:proofErr w:type="spellStart"/>
      <w:r w:rsidRPr="00EE2D20">
        <w:t>una</w:t>
      </w:r>
      <w:proofErr w:type="spellEnd"/>
      <w:r w:rsidRPr="00EE2D20">
        <w:t xml:space="preserve"> </w:t>
      </w:r>
      <w:proofErr w:type="spellStart"/>
      <w:r w:rsidRPr="00EE2D20">
        <w:t>sola</w:t>
      </w:r>
      <w:proofErr w:type="spellEnd"/>
      <w:r w:rsidRPr="00EE2D20">
        <w:t xml:space="preserve"> frase</w:t>
      </w:r>
      <w:r>
        <w:t xml:space="preserve">, </w:t>
      </w:r>
      <w:proofErr w:type="spellStart"/>
      <w:r>
        <w:t>pero</w:t>
      </w:r>
      <w:proofErr w:type="spellEnd"/>
      <w:r>
        <w:t xml:space="preserve"> ha </w:t>
      </w:r>
      <w:proofErr w:type="spellStart"/>
      <w:r>
        <w:t>sido</w:t>
      </w:r>
      <w:proofErr w:type="spellEnd"/>
      <w:r>
        <w:t xml:space="preserve"> </w:t>
      </w:r>
      <w:proofErr w:type="spellStart"/>
      <w:r>
        <w:t>calificado</w:t>
      </w:r>
      <w:proofErr w:type="spellEnd"/>
      <w:r>
        <w:t xml:space="preserve"> </w:t>
      </w:r>
      <w:proofErr w:type="spellStart"/>
      <w:r>
        <w:t>como</w:t>
      </w:r>
      <w:proofErr w:type="spellEnd"/>
      <w:r>
        <w:t xml:space="preserve"> incompatible con un “</w:t>
      </w:r>
      <w:proofErr w:type="spellStart"/>
      <w:r>
        <w:t>predicado</w:t>
      </w:r>
      <w:proofErr w:type="spellEnd"/>
      <w:r>
        <w:t xml:space="preserve"> SMART” </w:t>
      </w:r>
      <w:proofErr w:type="spellStart"/>
      <w:r>
        <w:t>por</w:t>
      </w:r>
      <w:proofErr w:type="spellEnd"/>
      <w:r>
        <w:t xml:space="preserve"> parte de la MTR. Al </w:t>
      </w:r>
      <w:proofErr w:type="spellStart"/>
      <w:r>
        <w:t>ser</w:t>
      </w:r>
      <w:proofErr w:type="spellEnd"/>
      <w:r>
        <w:t xml:space="preserve"> </w:t>
      </w:r>
      <w:proofErr w:type="spellStart"/>
      <w:r>
        <w:t>imposible</w:t>
      </w:r>
      <w:proofErr w:type="spellEnd"/>
      <w:r>
        <w:t xml:space="preserve"> </w:t>
      </w:r>
      <w:proofErr w:type="spellStart"/>
      <w:r>
        <w:t>ajustarlo</w:t>
      </w:r>
      <w:proofErr w:type="spellEnd"/>
      <w:r>
        <w:t xml:space="preserve"> </w:t>
      </w:r>
      <w:proofErr w:type="spellStart"/>
      <w:r>
        <w:t>durante</w:t>
      </w:r>
      <w:proofErr w:type="spellEnd"/>
      <w:r>
        <w:t xml:space="preserve"> la </w:t>
      </w:r>
      <w:proofErr w:type="spellStart"/>
      <w:r>
        <w:t>formulación</w:t>
      </w:r>
      <w:proofErr w:type="spellEnd"/>
      <w:r>
        <w:t xml:space="preserve"> (</w:t>
      </w:r>
      <w:r w:rsidRPr="00AD6408">
        <w:t xml:space="preserve">el OE </w:t>
      </w:r>
      <w:proofErr w:type="spellStart"/>
      <w:r w:rsidRPr="00AD6408">
        <w:t>había</w:t>
      </w:r>
      <w:proofErr w:type="spellEnd"/>
      <w:r w:rsidRPr="00AD6408">
        <w:t xml:space="preserve"> </w:t>
      </w:r>
      <w:proofErr w:type="spellStart"/>
      <w:r w:rsidRPr="00AD6408">
        <w:t>sido</w:t>
      </w:r>
      <w:proofErr w:type="spellEnd"/>
      <w:r w:rsidRPr="00AD6408">
        <w:t xml:space="preserve"> </w:t>
      </w:r>
      <w:proofErr w:type="spellStart"/>
      <w:r w:rsidRPr="00AD6408">
        <w:t>definido</w:t>
      </w:r>
      <w:proofErr w:type="spellEnd"/>
      <w:r w:rsidRPr="00AD6408">
        <w:t xml:space="preserve"> de </w:t>
      </w:r>
      <w:proofErr w:type="spellStart"/>
      <w:r w:rsidRPr="00AD6408">
        <w:t>común</w:t>
      </w:r>
      <w:proofErr w:type="spellEnd"/>
      <w:r w:rsidRPr="00AD6408">
        <w:t xml:space="preserve"> </w:t>
      </w:r>
      <w:proofErr w:type="spellStart"/>
      <w:r w:rsidRPr="00AD6408">
        <w:t>acuerdo</w:t>
      </w:r>
      <w:proofErr w:type="spellEnd"/>
      <w:r w:rsidRPr="00AD6408">
        <w:t xml:space="preserve"> en la </w:t>
      </w:r>
      <w:proofErr w:type="spellStart"/>
      <w:r w:rsidRPr="00AD6408">
        <w:t>Comisión</w:t>
      </w:r>
      <w:proofErr w:type="spellEnd"/>
      <w:r w:rsidRPr="00AD6408">
        <w:t xml:space="preserve"> </w:t>
      </w:r>
      <w:proofErr w:type="spellStart"/>
      <w:r w:rsidRPr="00AD6408">
        <w:t>mixta</w:t>
      </w:r>
      <w:proofErr w:type="spellEnd"/>
      <w:r w:rsidRPr="00AD6408">
        <w:t xml:space="preserve"> de sept. 2009</w:t>
      </w:r>
      <w:r>
        <w:t xml:space="preserve">) </w:t>
      </w:r>
      <w:proofErr w:type="spellStart"/>
      <w:r>
        <w:t>fue</w:t>
      </w:r>
      <w:proofErr w:type="spellEnd"/>
      <w:r>
        <w:t xml:space="preserve"> </w:t>
      </w:r>
      <w:proofErr w:type="spellStart"/>
      <w:r>
        <w:t>necesario</w:t>
      </w:r>
      <w:proofErr w:type="spellEnd"/>
      <w:r>
        <w:t xml:space="preserve"> </w:t>
      </w:r>
      <w:proofErr w:type="spellStart"/>
      <w:r>
        <w:t>precisarlo</w:t>
      </w:r>
      <w:proofErr w:type="spellEnd"/>
      <w:r>
        <w:t xml:space="preserve"> sobre la marcha, en el </w:t>
      </w:r>
      <w:proofErr w:type="spellStart"/>
      <w:r>
        <w:t>proceso</w:t>
      </w:r>
      <w:proofErr w:type="spellEnd"/>
      <w:r>
        <w:t xml:space="preserve"> de </w:t>
      </w:r>
      <w:proofErr w:type="spellStart"/>
      <w:r>
        <w:t>definición</w:t>
      </w:r>
      <w:proofErr w:type="spellEnd"/>
      <w:r>
        <w:t xml:space="preserve"> de la </w:t>
      </w:r>
      <w:proofErr w:type="spellStart"/>
      <w:r>
        <w:t>estrategia</w:t>
      </w:r>
      <w:proofErr w:type="spellEnd"/>
      <w:r>
        <w:t xml:space="preserve"> a </w:t>
      </w:r>
      <w:proofErr w:type="spellStart"/>
      <w:r>
        <w:t>seguir</w:t>
      </w:r>
      <w:proofErr w:type="spellEnd"/>
      <w:r>
        <w:t xml:space="preserve">, </w:t>
      </w:r>
      <w:proofErr w:type="spellStart"/>
      <w:r>
        <w:t>durante</w:t>
      </w:r>
      <w:proofErr w:type="spellEnd"/>
      <w:r>
        <w:t xml:space="preserve"> el primer </w:t>
      </w:r>
      <w:proofErr w:type="spellStart"/>
      <w:r>
        <w:t>año</w:t>
      </w:r>
      <w:proofErr w:type="spellEnd"/>
      <w:r>
        <w:t xml:space="preserve">. De </w:t>
      </w:r>
      <w:proofErr w:type="spellStart"/>
      <w:r>
        <w:t>hecho</w:t>
      </w:r>
      <w:proofErr w:type="spellEnd"/>
      <w:r>
        <w:t xml:space="preserve">, la </w:t>
      </w:r>
      <w:proofErr w:type="spellStart"/>
      <w:r>
        <w:t>traducción</w:t>
      </w:r>
      <w:proofErr w:type="spellEnd"/>
      <w:r>
        <w:t xml:space="preserve"> </w:t>
      </w:r>
      <w:proofErr w:type="spellStart"/>
      <w:r>
        <w:t>del</w:t>
      </w:r>
      <w:proofErr w:type="spellEnd"/>
      <w:r>
        <w:t xml:space="preserve"> OE en </w:t>
      </w:r>
      <w:proofErr w:type="spellStart"/>
      <w:r>
        <w:t>indicadores</w:t>
      </w:r>
      <w:proofErr w:type="spellEnd"/>
      <w:r>
        <w:t xml:space="preserve"> </w:t>
      </w:r>
      <w:proofErr w:type="spellStart"/>
      <w:r>
        <w:t>cambió</w:t>
      </w:r>
      <w:proofErr w:type="spellEnd"/>
      <w:r w:rsidRPr="00EE2D20">
        <w:t xml:space="preserve"> </w:t>
      </w:r>
      <w:proofErr w:type="spellStart"/>
      <w:r w:rsidRPr="00EE2D20">
        <w:t>radicalmente</w:t>
      </w:r>
      <w:proofErr w:type="spellEnd"/>
      <w:r w:rsidRPr="00EE2D20">
        <w:t xml:space="preserve"> entre el DTF y el POG.</w:t>
      </w:r>
      <w:r>
        <w:t xml:space="preserve"> A medio </w:t>
      </w:r>
      <w:proofErr w:type="spellStart"/>
      <w:r>
        <w:t>término</w:t>
      </w:r>
      <w:proofErr w:type="spellEnd"/>
      <w:r w:rsidRPr="00EE2D20">
        <w:t xml:space="preserve">, </w:t>
      </w:r>
      <w:r>
        <w:t xml:space="preserve">se </w:t>
      </w:r>
      <w:proofErr w:type="spellStart"/>
      <w:r>
        <w:t>ratificó</w:t>
      </w:r>
      <w:proofErr w:type="spellEnd"/>
      <w:r>
        <w:t xml:space="preserve"> que el </w:t>
      </w:r>
      <w:proofErr w:type="spellStart"/>
      <w:r>
        <w:t>Programa</w:t>
      </w:r>
      <w:proofErr w:type="spellEnd"/>
      <w:r>
        <w:t xml:space="preserve"> </w:t>
      </w:r>
      <w:proofErr w:type="spellStart"/>
      <w:r>
        <w:t>tenía</w:t>
      </w:r>
      <w:proofErr w:type="spellEnd"/>
      <w:r>
        <w:t xml:space="preserve">, en la </w:t>
      </w:r>
      <w:proofErr w:type="spellStart"/>
      <w:r>
        <w:t>práctica</w:t>
      </w:r>
      <w:proofErr w:type="spellEnd"/>
      <w:r>
        <w:t xml:space="preserve">, 2 </w:t>
      </w:r>
      <w:proofErr w:type="spellStart"/>
      <w:r>
        <w:t>objetivos</w:t>
      </w:r>
      <w:proofErr w:type="spellEnd"/>
      <w:r>
        <w:t xml:space="preserve"> </w:t>
      </w:r>
      <w:proofErr w:type="spellStart"/>
      <w:r>
        <w:t>específicos</w:t>
      </w:r>
      <w:proofErr w:type="spellEnd"/>
      <w:r>
        <w:t xml:space="preserve">, </w:t>
      </w:r>
      <w:proofErr w:type="spellStart"/>
      <w:r>
        <w:t>expresados</w:t>
      </w:r>
      <w:proofErr w:type="spellEnd"/>
      <w:r>
        <w:t xml:space="preserve"> </w:t>
      </w:r>
      <w:proofErr w:type="spellStart"/>
      <w:r>
        <w:t>por</w:t>
      </w:r>
      <w:proofErr w:type="spellEnd"/>
      <w:r>
        <w:t xml:space="preserve"> 2</w:t>
      </w:r>
      <w:r w:rsidRPr="00EE2D20">
        <w:t xml:space="preserve"> </w:t>
      </w:r>
      <w:proofErr w:type="spellStart"/>
      <w:r w:rsidRPr="00EE2D20">
        <w:t>indicadores</w:t>
      </w:r>
      <w:proofErr w:type="spellEnd"/>
      <w:r w:rsidRPr="00EE2D20">
        <w:t xml:space="preserve"> para el OE</w:t>
      </w:r>
      <w:r>
        <w:t xml:space="preserve"> </w:t>
      </w:r>
      <w:proofErr w:type="spellStart"/>
      <w:r>
        <w:t>contractual</w:t>
      </w:r>
      <w:proofErr w:type="spellEnd"/>
      <w:r>
        <w:t>:</w:t>
      </w:r>
      <w:r w:rsidRPr="00EE2D20">
        <w:t xml:space="preserve"> </w:t>
      </w:r>
      <w:proofErr w:type="spellStart"/>
      <w:r w:rsidRPr="00EE2D20">
        <w:t>uno</w:t>
      </w:r>
      <w:proofErr w:type="spellEnd"/>
      <w:r w:rsidRPr="00EE2D20">
        <w:t xml:space="preserve"> en el </w:t>
      </w:r>
      <w:proofErr w:type="spellStart"/>
      <w:r w:rsidRPr="00EE2D20">
        <w:t>ámbito</w:t>
      </w:r>
      <w:proofErr w:type="spellEnd"/>
      <w:r w:rsidRPr="00EE2D20">
        <w:t xml:space="preserve"> </w:t>
      </w:r>
      <w:proofErr w:type="spellStart"/>
      <w:r w:rsidRPr="00EE2D20">
        <w:t>institucional</w:t>
      </w:r>
      <w:proofErr w:type="spellEnd"/>
      <w:r w:rsidRPr="00EE2D20">
        <w:t xml:space="preserve"> y </w:t>
      </w:r>
      <w:proofErr w:type="spellStart"/>
      <w:r w:rsidRPr="00EE2D20">
        <w:t>otro</w:t>
      </w:r>
      <w:proofErr w:type="spellEnd"/>
      <w:r w:rsidRPr="00EE2D20">
        <w:t xml:space="preserve"> en el </w:t>
      </w:r>
      <w:proofErr w:type="spellStart"/>
      <w:r>
        <w:t>ámbito</w:t>
      </w:r>
      <w:proofErr w:type="spellEnd"/>
      <w:r>
        <w:t xml:space="preserve"> </w:t>
      </w:r>
      <w:r w:rsidRPr="00EE2D20">
        <w:t xml:space="preserve">de los </w:t>
      </w:r>
      <w:proofErr w:type="spellStart"/>
      <w:r w:rsidRPr="00EE2D20">
        <w:t>cambio</w:t>
      </w:r>
      <w:r>
        <w:t>s</w:t>
      </w:r>
      <w:proofErr w:type="spellEnd"/>
      <w:r>
        <w:t xml:space="preserve"> en las </w:t>
      </w:r>
      <w:proofErr w:type="spellStart"/>
      <w:r>
        <w:t>prácticas</w:t>
      </w:r>
      <w:proofErr w:type="spellEnd"/>
      <w:r>
        <w:t xml:space="preserve"> </w:t>
      </w:r>
      <w:proofErr w:type="spellStart"/>
      <w:r>
        <w:t>productivas</w:t>
      </w:r>
      <w:proofErr w:type="spellEnd"/>
      <w:r>
        <w:t xml:space="preserve"> y </w:t>
      </w:r>
      <w:proofErr w:type="spellStart"/>
      <w:r>
        <w:t>comerciales</w:t>
      </w:r>
      <w:proofErr w:type="spellEnd"/>
      <w:r>
        <w:t xml:space="preserve">, a </w:t>
      </w:r>
      <w:proofErr w:type="spellStart"/>
      <w:r>
        <w:t>través</w:t>
      </w:r>
      <w:proofErr w:type="spellEnd"/>
      <w:r>
        <w:t xml:space="preserve"> de</w:t>
      </w:r>
      <w:r w:rsidRPr="00EE2D20">
        <w:t xml:space="preserve"> los MRSE, las cadenas de </w:t>
      </w:r>
      <w:proofErr w:type="spellStart"/>
      <w:r w:rsidRPr="00EE2D20">
        <w:t>valor</w:t>
      </w:r>
      <w:proofErr w:type="spellEnd"/>
      <w:r w:rsidRPr="00EE2D20">
        <w:t xml:space="preserve"> y </w:t>
      </w:r>
      <w:proofErr w:type="spellStart"/>
      <w:r>
        <w:t>otras</w:t>
      </w:r>
      <w:proofErr w:type="spellEnd"/>
      <w:r>
        <w:t xml:space="preserve"> formas de </w:t>
      </w:r>
      <w:proofErr w:type="spellStart"/>
      <w:r>
        <w:t>aprovechamiento</w:t>
      </w:r>
      <w:proofErr w:type="spellEnd"/>
      <w:r>
        <w:t xml:space="preserve"> </w:t>
      </w:r>
      <w:proofErr w:type="spellStart"/>
      <w:r>
        <w:t>vinculadas</w:t>
      </w:r>
      <w:proofErr w:type="spellEnd"/>
      <w:r>
        <w:t xml:space="preserve"> a </w:t>
      </w:r>
      <w:proofErr w:type="spellStart"/>
      <w:r>
        <w:t>áreas</w:t>
      </w:r>
      <w:proofErr w:type="spellEnd"/>
      <w:r>
        <w:t xml:space="preserve"> </w:t>
      </w:r>
      <w:proofErr w:type="spellStart"/>
      <w:r>
        <w:t>protegidas</w:t>
      </w:r>
      <w:proofErr w:type="spellEnd"/>
      <w:r>
        <w:t xml:space="preserve"> o no. </w:t>
      </w:r>
    </w:p>
    <w:p w14:paraId="1263C393" w14:textId="77777777" w:rsidR="000A0A8E" w:rsidRPr="000A0A8E" w:rsidRDefault="000A0A8E" w:rsidP="000A0A8E">
      <w:pPr>
        <w:rPr>
          <w:color w:val="0070C0"/>
          <w:lang w:eastAsia="es-EC"/>
        </w:rPr>
      </w:pPr>
      <w:r w:rsidRPr="000A0A8E">
        <w:rPr>
          <w:lang w:eastAsia="es-EC"/>
        </w:rPr>
        <w:t xml:space="preserve">Al </w:t>
      </w:r>
      <w:proofErr w:type="spellStart"/>
      <w:r w:rsidRPr="000A0A8E">
        <w:rPr>
          <w:lang w:eastAsia="es-EC"/>
        </w:rPr>
        <w:t>concluir</w:t>
      </w:r>
      <w:proofErr w:type="spellEnd"/>
      <w:r w:rsidRPr="000A0A8E">
        <w:rPr>
          <w:lang w:eastAsia="es-EC"/>
        </w:rPr>
        <w:t xml:space="preserve"> el </w:t>
      </w:r>
      <w:proofErr w:type="spellStart"/>
      <w:r w:rsidRPr="000A0A8E">
        <w:rPr>
          <w:lang w:eastAsia="es-EC"/>
        </w:rPr>
        <w:t>Programa</w:t>
      </w:r>
      <w:proofErr w:type="spellEnd"/>
      <w:r w:rsidRPr="000A0A8E">
        <w:rPr>
          <w:lang w:eastAsia="es-EC"/>
        </w:rPr>
        <w:t xml:space="preserve">, las </w:t>
      </w:r>
      <w:proofErr w:type="spellStart"/>
      <w:r w:rsidRPr="000A0A8E">
        <w:rPr>
          <w:lang w:eastAsia="es-EC"/>
        </w:rPr>
        <w:t>instituciones</w:t>
      </w:r>
      <w:proofErr w:type="spellEnd"/>
      <w:r w:rsidRPr="000A0A8E">
        <w:rPr>
          <w:lang w:eastAsia="es-EC"/>
        </w:rPr>
        <w:t xml:space="preserve"> a </w:t>
      </w:r>
      <w:proofErr w:type="spellStart"/>
      <w:r w:rsidRPr="000A0A8E">
        <w:rPr>
          <w:lang w:eastAsia="es-EC"/>
        </w:rPr>
        <w:t>diferentes</w:t>
      </w:r>
      <w:proofErr w:type="spellEnd"/>
      <w:r w:rsidRPr="000A0A8E">
        <w:rPr>
          <w:lang w:eastAsia="es-EC"/>
        </w:rPr>
        <w:t xml:space="preserve"> </w:t>
      </w:r>
      <w:proofErr w:type="spellStart"/>
      <w:r w:rsidRPr="000A0A8E">
        <w:rPr>
          <w:lang w:eastAsia="es-EC"/>
        </w:rPr>
        <w:t>niveles</w:t>
      </w:r>
      <w:proofErr w:type="spellEnd"/>
      <w:r w:rsidRPr="000A0A8E">
        <w:rPr>
          <w:lang w:eastAsia="es-EC"/>
        </w:rPr>
        <w:t xml:space="preserve">, </w:t>
      </w:r>
      <w:proofErr w:type="spellStart"/>
      <w:r w:rsidRPr="000A0A8E">
        <w:rPr>
          <w:lang w:eastAsia="es-EC"/>
        </w:rPr>
        <w:t>usando</w:t>
      </w:r>
      <w:proofErr w:type="spellEnd"/>
      <w:r w:rsidRPr="000A0A8E">
        <w:rPr>
          <w:lang w:eastAsia="es-EC"/>
        </w:rPr>
        <w:t xml:space="preserve"> los </w:t>
      </w:r>
      <w:proofErr w:type="spellStart"/>
      <w:r w:rsidRPr="000A0A8E">
        <w:rPr>
          <w:lang w:eastAsia="es-EC"/>
        </w:rPr>
        <w:t>instrumentos</w:t>
      </w:r>
      <w:proofErr w:type="spellEnd"/>
      <w:r w:rsidRPr="000A0A8E">
        <w:rPr>
          <w:lang w:eastAsia="es-EC"/>
        </w:rPr>
        <w:t xml:space="preserve"> y los </w:t>
      </w:r>
      <w:proofErr w:type="spellStart"/>
      <w:r w:rsidRPr="000A0A8E">
        <w:rPr>
          <w:lang w:eastAsia="es-EC"/>
        </w:rPr>
        <w:t>espacios</w:t>
      </w:r>
      <w:proofErr w:type="spellEnd"/>
      <w:r w:rsidRPr="000A0A8E">
        <w:rPr>
          <w:lang w:eastAsia="es-EC"/>
        </w:rPr>
        <w:t xml:space="preserve"> de </w:t>
      </w:r>
      <w:proofErr w:type="spellStart"/>
      <w:r w:rsidRPr="000A0A8E">
        <w:rPr>
          <w:lang w:eastAsia="es-EC"/>
        </w:rPr>
        <w:t>gobernanza</w:t>
      </w:r>
      <w:proofErr w:type="spellEnd"/>
      <w:r w:rsidRPr="000A0A8E">
        <w:rPr>
          <w:lang w:eastAsia="es-EC"/>
        </w:rPr>
        <w:t xml:space="preserve">, </w:t>
      </w:r>
      <w:proofErr w:type="spellStart"/>
      <w:r w:rsidRPr="000A0A8E">
        <w:rPr>
          <w:lang w:eastAsia="es-EC"/>
        </w:rPr>
        <w:t>debían</w:t>
      </w:r>
      <w:proofErr w:type="spellEnd"/>
      <w:r w:rsidRPr="000A0A8E">
        <w:rPr>
          <w:lang w:eastAsia="es-EC"/>
        </w:rPr>
        <w:t xml:space="preserve"> </w:t>
      </w:r>
      <w:proofErr w:type="spellStart"/>
      <w:r w:rsidRPr="000A0A8E">
        <w:rPr>
          <w:lang w:eastAsia="es-EC"/>
        </w:rPr>
        <w:t>estar</w:t>
      </w:r>
      <w:proofErr w:type="spellEnd"/>
      <w:r w:rsidRPr="000A0A8E">
        <w:rPr>
          <w:lang w:eastAsia="es-EC"/>
        </w:rPr>
        <w:t xml:space="preserve"> en </w:t>
      </w:r>
      <w:proofErr w:type="spellStart"/>
      <w:r w:rsidRPr="000A0A8E">
        <w:rPr>
          <w:lang w:eastAsia="es-EC"/>
        </w:rPr>
        <w:t>capacidad</w:t>
      </w:r>
      <w:proofErr w:type="spellEnd"/>
      <w:r w:rsidRPr="000A0A8E">
        <w:rPr>
          <w:lang w:eastAsia="es-EC"/>
        </w:rPr>
        <w:t xml:space="preserve"> de </w:t>
      </w:r>
      <w:proofErr w:type="spellStart"/>
      <w:r w:rsidRPr="000A0A8E">
        <w:rPr>
          <w:lang w:eastAsia="es-EC"/>
        </w:rPr>
        <w:t>continuar</w:t>
      </w:r>
      <w:proofErr w:type="spellEnd"/>
      <w:r w:rsidRPr="000A0A8E">
        <w:rPr>
          <w:lang w:eastAsia="es-EC"/>
        </w:rPr>
        <w:t xml:space="preserve"> con las </w:t>
      </w:r>
      <w:proofErr w:type="spellStart"/>
      <w:r w:rsidRPr="000A0A8E">
        <w:rPr>
          <w:lang w:eastAsia="es-EC"/>
        </w:rPr>
        <w:t>acciones</w:t>
      </w:r>
      <w:proofErr w:type="spellEnd"/>
      <w:r w:rsidRPr="000A0A8E">
        <w:rPr>
          <w:lang w:eastAsia="es-EC"/>
        </w:rPr>
        <w:t xml:space="preserve"> </w:t>
      </w:r>
      <w:proofErr w:type="spellStart"/>
      <w:r w:rsidRPr="000A0A8E">
        <w:rPr>
          <w:lang w:eastAsia="es-EC"/>
        </w:rPr>
        <w:t>emprendidas</w:t>
      </w:r>
      <w:proofErr w:type="spellEnd"/>
      <w:r w:rsidRPr="000A0A8E">
        <w:rPr>
          <w:lang w:eastAsia="es-EC"/>
        </w:rPr>
        <w:t xml:space="preserve"> en </w:t>
      </w:r>
      <w:proofErr w:type="spellStart"/>
      <w:r w:rsidRPr="000A0A8E">
        <w:rPr>
          <w:lang w:eastAsia="es-EC"/>
        </w:rPr>
        <w:t>algunos</w:t>
      </w:r>
      <w:proofErr w:type="spellEnd"/>
      <w:r w:rsidRPr="000A0A8E">
        <w:rPr>
          <w:lang w:eastAsia="es-EC"/>
        </w:rPr>
        <w:t xml:space="preserve"> </w:t>
      </w:r>
      <w:proofErr w:type="spellStart"/>
      <w:r w:rsidRPr="000A0A8E">
        <w:rPr>
          <w:lang w:eastAsia="es-EC"/>
        </w:rPr>
        <w:t>territorios</w:t>
      </w:r>
      <w:proofErr w:type="spellEnd"/>
      <w:r w:rsidRPr="000A0A8E">
        <w:rPr>
          <w:lang w:eastAsia="es-EC"/>
        </w:rPr>
        <w:t xml:space="preserve">, </w:t>
      </w:r>
      <w:proofErr w:type="spellStart"/>
      <w:r w:rsidRPr="000A0A8E">
        <w:rPr>
          <w:lang w:eastAsia="es-EC"/>
        </w:rPr>
        <w:t>conceptualizados</w:t>
      </w:r>
      <w:proofErr w:type="spellEnd"/>
      <w:r w:rsidRPr="000A0A8E">
        <w:rPr>
          <w:lang w:eastAsia="es-EC"/>
        </w:rPr>
        <w:t xml:space="preserve"> </w:t>
      </w:r>
      <w:proofErr w:type="spellStart"/>
      <w:r w:rsidRPr="000A0A8E">
        <w:rPr>
          <w:lang w:eastAsia="es-EC"/>
        </w:rPr>
        <w:t>como</w:t>
      </w:r>
      <w:proofErr w:type="spellEnd"/>
      <w:r w:rsidRPr="000A0A8E">
        <w:rPr>
          <w:lang w:eastAsia="es-EC"/>
        </w:rPr>
        <w:t xml:space="preserve"> “</w:t>
      </w:r>
      <w:proofErr w:type="spellStart"/>
      <w:r w:rsidRPr="000A0A8E">
        <w:rPr>
          <w:lang w:eastAsia="es-EC"/>
        </w:rPr>
        <w:t>paisajes</w:t>
      </w:r>
      <w:proofErr w:type="spellEnd"/>
      <w:r w:rsidRPr="000A0A8E">
        <w:rPr>
          <w:lang w:eastAsia="es-EC"/>
        </w:rPr>
        <w:t xml:space="preserve"> </w:t>
      </w:r>
      <w:proofErr w:type="spellStart"/>
      <w:r w:rsidRPr="000A0A8E">
        <w:rPr>
          <w:lang w:eastAsia="es-EC"/>
        </w:rPr>
        <w:t>funcionales</w:t>
      </w:r>
      <w:proofErr w:type="spellEnd"/>
      <w:r w:rsidRPr="000A0A8E">
        <w:rPr>
          <w:lang w:eastAsia="es-EC"/>
        </w:rPr>
        <w:t xml:space="preserve">”, y de </w:t>
      </w:r>
      <w:proofErr w:type="spellStart"/>
      <w:r w:rsidRPr="000A0A8E">
        <w:rPr>
          <w:lang w:eastAsia="es-EC"/>
        </w:rPr>
        <w:t>multiplicarlas</w:t>
      </w:r>
      <w:proofErr w:type="spellEnd"/>
      <w:r w:rsidRPr="000A0A8E">
        <w:rPr>
          <w:lang w:eastAsia="es-EC"/>
        </w:rPr>
        <w:t xml:space="preserve">. De </w:t>
      </w:r>
      <w:proofErr w:type="spellStart"/>
      <w:r w:rsidRPr="000A0A8E">
        <w:rPr>
          <w:lang w:eastAsia="es-EC"/>
        </w:rPr>
        <w:t>esta</w:t>
      </w:r>
      <w:proofErr w:type="spellEnd"/>
      <w:r w:rsidRPr="000A0A8E">
        <w:rPr>
          <w:lang w:eastAsia="es-EC"/>
        </w:rPr>
        <w:t xml:space="preserve"> </w:t>
      </w:r>
      <w:proofErr w:type="spellStart"/>
      <w:r w:rsidRPr="000A0A8E">
        <w:rPr>
          <w:lang w:eastAsia="es-EC"/>
        </w:rPr>
        <w:t>manera</w:t>
      </w:r>
      <w:proofErr w:type="spellEnd"/>
      <w:r w:rsidRPr="000A0A8E">
        <w:rPr>
          <w:lang w:eastAsia="es-EC"/>
        </w:rPr>
        <w:t xml:space="preserve"> se </w:t>
      </w:r>
      <w:proofErr w:type="spellStart"/>
      <w:r w:rsidRPr="000A0A8E">
        <w:rPr>
          <w:lang w:eastAsia="es-EC"/>
        </w:rPr>
        <w:t>busca</w:t>
      </w:r>
      <w:proofErr w:type="spellEnd"/>
      <w:r w:rsidRPr="000A0A8E">
        <w:rPr>
          <w:lang w:eastAsia="es-EC"/>
        </w:rPr>
        <w:t xml:space="preserve"> </w:t>
      </w:r>
      <w:proofErr w:type="spellStart"/>
      <w:r w:rsidRPr="000A0A8E">
        <w:rPr>
          <w:lang w:eastAsia="es-EC"/>
        </w:rPr>
        <w:t>desarrollar</w:t>
      </w:r>
      <w:proofErr w:type="spellEnd"/>
      <w:r w:rsidRPr="000A0A8E">
        <w:rPr>
          <w:lang w:eastAsia="es-EC"/>
        </w:rPr>
        <w:t xml:space="preserve"> un </w:t>
      </w:r>
      <w:proofErr w:type="spellStart"/>
      <w:r w:rsidRPr="000A0A8E">
        <w:rPr>
          <w:lang w:eastAsia="es-EC"/>
        </w:rPr>
        <w:t>modelo</w:t>
      </w:r>
      <w:proofErr w:type="spellEnd"/>
      <w:r w:rsidRPr="000A0A8E">
        <w:rPr>
          <w:lang w:eastAsia="es-EC"/>
        </w:rPr>
        <w:t xml:space="preserve"> de </w:t>
      </w:r>
      <w:proofErr w:type="spellStart"/>
      <w:r w:rsidRPr="000A0A8E">
        <w:rPr>
          <w:lang w:eastAsia="es-EC"/>
        </w:rPr>
        <w:t>gestión</w:t>
      </w:r>
      <w:proofErr w:type="spellEnd"/>
      <w:r w:rsidRPr="000A0A8E">
        <w:rPr>
          <w:lang w:eastAsia="es-EC"/>
        </w:rPr>
        <w:t xml:space="preserve"> y </w:t>
      </w:r>
      <w:proofErr w:type="spellStart"/>
      <w:r w:rsidRPr="000A0A8E">
        <w:rPr>
          <w:lang w:eastAsia="es-EC"/>
        </w:rPr>
        <w:t>gobernanza</w:t>
      </w:r>
      <w:proofErr w:type="spellEnd"/>
      <w:r w:rsidRPr="000A0A8E">
        <w:rPr>
          <w:lang w:eastAsia="es-EC"/>
        </w:rPr>
        <w:t xml:space="preserve"> </w:t>
      </w:r>
      <w:proofErr w:type="spellStart"/>
      <w:r w:rsidRPr="000A0A8E">
        <w:rPr>
          <w:lang w:eastAsia="es-EC"/>
        </w:rPr>
        <w:t>ambiental</w:t>
      </w:r>
      <w:proofErr w:type="spellEnd"/>
      <w:r w:rsidRPr="000A0A8E">
        <w:rPr>
          <w:lang w:eastAsia="es-EC"/>
        </w:rPr>
        <w:t xml:space="preserve">, a </w:t>
      </w:r>
      <w:proofErr w:type="spellStart"/>
      <w:r w:rsidRPr="000A0A8E">
        <w:rPr>
          <w:lang w:eastAsia="es-EC"/>
        </w:rPr>
        <w:t>nivel</w:t>
      </w:r>
      <w:proofErr w:type="spellEnd"/>
      <w:r w:rsidRPr="000A0A8E">
        <w:rPr>
          <w:lang w:eastAsia="es-EC"/>
        </w:rPr>
        <w:t xml:space="preserve"> </w:t>
      </w:r>
      <w:proofErr w:type="spellStart"/>
      <w:r w:rsidRPr="000A0A8E">
        <w:rPr>
          <w:lang w:eastAsia="es-EC"/>
        </w:rPr>
        <w:t>regional</w:t>
      </w:r>
      <w:proofErr w:type="spellEnd"/>
      <w:r w:rsidRPr="000A0A8E">
        <w:rPr>
          <w:lang w:eastAsia="es-EC"/>
        </w:rPr>
        <w:t xml:space="preserve"> y local, que </w:t>
      </w:r>
      <w:proofErr w:type="spellStart"/>
      <w:r w:rsidRPr="000A0A8E">
        <w:rPr>
          <w:lang w:eastAsia="es-EC"/>
        </w:rPr>
        <w:t>traduzca</w:t>
      </w:r>
      <w:proofErr w:type="spellEnd"/>
      <w:r w:rsidRPr="000A0A8E">
        <w:rPr>
          <w:lang w:eastAsia="es-EC"/>
        </w:rPr>
        <w:t xml:space="preserve"> la </w:t>
      </w:r>
      <w:proofErr w:type="spellStart"/>
      <w:r w:rsidRPr="000A0A8E">
        <w:rPr>
          <w:lang w:eastAsia="es-EC"/>
        </w:rPr>
        <w:t>Política</w:t>
      </w:r>
      <w:proofErr w:type="spellEnd"/>
      <w:r w:rsidRPr="000A0A8E">
        <w:rPr>
          <w:lang w:eastAsia="es-EC"/>
        </w:rPr>
        <w:t xml:space="preserve"> </w:t>
      </w:r>
      <w:proofErr w:type="spellStart"/>
      <w:r w:rsidRPr="000A0A8E">
        <w:rPr>
          <w:lang w:eastAsia="es-EC"/>
        </w:rPr>
        <w:t>Nacional</w:t>
      </w:r>
      <w:proofErr w:type="spellEnd"/>
      <w:r w:rsidRPr="000A0A8E">
        <w:rPr>
          <w:lang w:eastAsia="es-EC"/>
        </w:rPr>
        <w:t xml:space="preserve"> </w:t>
      </w:r>
      <w:proofErr w:type="spellStart"/>
      <w:r w:rsidRPr="000A0A8E">
        <w:rPr>
          <w:lang w:eastAsia="es-EC"/>
        </w:rPr>
        <w:t>del</w:t>
      </w:r>
      <w:proofErr w:type="spellEnd"/>
      <w:r w:rsidRPr="000A0A8E">
        <w:rPr>
          <w:lang w:eastAsia="es-EC"/>
        </w:rPr>
        <w:t xml:space="preserve"> </w:t>
      </w:r>
      <w:proofErr w:type="spellStart"/>
      <w:r w:rsidRPr="000A0A8E">
        <w:rPr>
          <w:lang w:eastAsia="es-EC"/>
        </w:rPr>
        <w:t>Ambiente</w:t>
      </w:r>
      <w:proofErr w:type="spellEnd"/>
      <w:r w:rsidRPr="000A0A8E">
        <w:rPr>
          <w:lang w:eastAsia="es-EC"/>
        </w:rPr>
        <w:t xml:space="preserve"> en </w:t>
      </w:r>
      <w:proofErr w:type="spellStart"/>
      <w:r w:rsidRPr="000A0A8E">
        <w:rPr>
          <w:lang w:eastAsia="es-EC"/>
        </w:rPr>
        <w:t>acciones</w:t>
      </w:r>
      <w:proofErr w:type="spellEnd"/>
      <w:r w:rsidRPr="000A0A8E">
        <w:rPr>
          <w:lang w:eastAsia="es-EC"/>
        </w:rPr>
        <w:t xml:space="preserve"> </w:t>
      </w:r>
      <w:proofErr w:type="spellStart"/>
      <w:r w:rsidRPr="000A0A8E">
        <w:rPr>
          <w:lang w:eastAsia="es-EC"/>
        </w:rPr>
        <w:t>concretas</w:t>
      </w:r>
      <w:proofErr w:type="spellEnd"/>
      <w:r w:rsidRPr="000A0A8E">
        <w:rPr>
          <w:lang w:eastAsia="es-EC"/>
        </w:rPr>
        <w:t xml:space="preserve"> y </w:t>
      </w:r>
      <w:proofErr w:type="spellStart"/>
      <w:r w:rsidRPr="000A0A8E">
        <w:rPr>
          <w:lang w:eastAsia="es-EC"/>
        </w:rPr>
        <w:t>beneficiosas</w:t>
      </w:r>
      <w:proofErr w:type="spellEnd"/>
      <w:r w:rsidRPr="000A0A8E">
        <w:rPr>
          <w:lang w:eastAsia="es-EC"/>
        </w:rPr>
        <w:t xml:space="preserve"> para la gente y los </w:t>
      </w:r>
      <w:proofErr w:type="spellStart"/>
      <w:r w:rsidRPr="000A0A8E">
        <w:rPr>
          <w:lang w:eastAsia="es-EC"/>
        </w:rPr>
        <w:t>ecosistemas</w:t>
      </w:r>
      <w:proofErr w:type="spellEnd"/>
      <w:r w:rsidRPr="000A0A8E">
        <w:rPr>
          <w:lang w:eastAsia="es-EC"/>
        </w:rPr>
        <w:t xml:space="preserve">. </w:t>
      </w:r>
    </w:p>
    <w:p w14:paraId="336E0E01" w14:textId="77777777" w:rsidR="000A0A8E" w:rsidRPr="000A0A8E" w:rsidRDefault="000A0A8E" w:rsidP="000A0A8E">
      <w:pPr>
        <w:rPr>
          <w:lang w:eastAsia="es-EC"/>
        </w:rPr>
      </w:pPr>
      <w:proofErr w:type="spellStart"/>
      <w:r w:rsidRPr="000A0A8E">
        <w:rPr>
          <w:lang w:eastAsia="es-EC"/>
        </w:rPr>
        <w:t>Conceptualizamos</w:t>
      </w:r>
      <w:proofErr w:type="spellEnd"/>
      <w:r w:rsidRPr="000A0A8E">
        <w:rPr>
          <w:lang w:eastAsia="es-EC"/>
        </w:rPr>
        <w:t xml:space="preserve"> el </w:t>
      </w:r>
      <w:proofErr w:type="spellStart"/>
      <w:r w:rsidRPr="000A0A8E">
        <w:rPr>
          <w:lang w:eastAsia="es-EC"/>
        </w:rPr>
        <w:t>Programa</w:t>
      </w:r>
      <w:proofErr w:type="spellEnd"/>
      <w:r w:rsidRPr="000A0A8E">
        <w:rPr>
          <w:lang w:eastAsia="es-EC"/>
        </w:rPr>
        <w:t xml:space="preserve"> </w:t>
      </w:r>
      <w:proofErr w:type="spellStart"/>
      <w:r w:rsidRPr="000A0A8E">
        <w:rPr>
          <w:lang w:eastAsia="es-EC"/>
        </w:rPr>
        <w:t>como</w:t>
      </w:r>
      <w:proofErr w:type="spellEnd"/>
      <w:r w:rsidRPr="000A0A8E">
        <w:rPr>
          <w:lang w:eastAsia="es-EC"/>
        </w:rPr>
        <w:t xml:space="preserve"> </w:t>
      </w:r>
      <w:proofErr w:type="spellStart"/>
      <w:r w:rsidRPr="000A0A8E">
        <w:rPr>
          <w:lang w:eastAsia="es-EC"/>
        </w:rPr>
        <w:t>estructurado</w:t>
      </w:r>
      <w:proofErr w:type="spellEnd"/>
      <w:r w:rsidRPr="000A0A8E">
        <w:rPr>
          <w:lang w:eastAsia="es-EC"/>
        </w:rPr>
        <w:t xml:space="preserve"> </w:t>
      </w:r>
      <w:proofErr w:type="spellStart"/>
      <w:r w:rsidRPr="000A0A8E">
        <w:rPr>
          <w:lang w:eastAsia="es-EC"/>
        </w:rPr>
        <w:t>por</w:t>
      </w:r>
      <w:proofErr w:type="spellEnd"/>
      <w:r w:rsidRPr="000A0A8E">
        <w:rPr>
          <w:lang w:eastAsia="es-EC"/>
        </w:rPr>
        <w:t xml:space="preserve"> dos </w:t>
      </w:r>
      <w:proofErr w:type="spellStart"/>
      <w:r w:rsidRPr="000A0A8E">
        <w:rPr>
          <w:lang w:eastAsia="es-EC"/>
        </w:rPr>
        <w:t>líneas</w:t>
      </w:r>
      <w:proofErr w:type="spellEnd"/>
      <w:r w:rsidRPr="000A0A8E">
        <w:rPr>
          <w:lang w:eastAsia="es-EC"/>
        </w:rPr>
        <w:t xml:space="preserve"> </w:t>
      </w:r>
      <w:proofErr w:type="spellStart"/>
      <w:r w:rsidRPr="000A0A8E">
        <w:rPr>
          <w:lang w:eastAsia="es-EC"/>
        </w:rPr>
        <w:t>estratégicas</w:t>
      </w:r>
      <w:proofErr w:type="spellEnd"/>
      <w:r w:rsidRPr="000A0A8E">
        <w:rPr>
          <w:lang w:eastAsia="es-EC"/>
        </w:rPr>
        <w:t xml:space="preserve"> – o </w:t>
      </w:r>
      <w:proofErr w:type="spellStart"/>
      <w:r w:rsidRPr="000A0A8E">
        <w:rPr>
          <w:lang w:eastAsia="es-EC"/>
        </w:rPr>
        <w:t>sea</w:t>
      </w:r>
      <w:proofErr w:type="spellEnd"/>
      <w:r w:rsidRPr="000A0A8E">
        <w:rPr>
          <w:lang w:eastAsia="es-EC"/>
        </w:rPr>
        <w:t xml:space="preserve"> </w:t>
      </w:r>
      <w:proofErr w:type="spellStart"/>
      <w:r w:rsidRPr="000A0A8E">
        <w:rPr>
          <w:lang w:eastAsia="es-EC"/>
        </w:rPr>
        <w:t>desarrollo</w:t>
      </w:r>
      <w:proofErr w:type="spellEnd"/>
      <w:r w:rsidRPr="000A0A8E">
        <w:rPr>
          <w:lang w:eastAsia="es-EC"/>
        </w:rPr>
        <w:t xml:space="preserve"> de </w:t>
      </w:r>
      <w:proofErr w:type="spellStart"/>
      <w:r w:rsidRPr="000A0A8E">
        <w:rPr>
          <w:lang w:eastAsia="es-EC"/>
        </w:rPr>
        <w:t>capacidades</w:t>
      </w:r>
      <w:proofErr w:type="spellEnd"/>
      <w:r w:rsidRPr="000A0A8E">
        <w:rPr>
          <w:lang w:eastAsia="es-EC"/>
        </w:rPr>
        <w:t xml:space="preserve"> </w:t>
      </w:r>
      <w:proofErr w:type="spellStart"/>
      <w:r w:rsidRPr="000A0A8E">
        <w:rPr>
          <w:lang w:eastAsia="es-EC"/>
        </w:rPr>
        <w:t>institucionales</w:t>
      </w:r>
      <w:proofErr w:type="spellEnd"/>
      <w:r w:rsidRPr="000A0A8E">
        <w:rPr>
          <w:lang w:eastAsia="es-EC"/>
        </w:rPr>
        <w:t xml:space="preserve"> y </w:t>
      </w:r>
      <w:proofErr w:type="spellStart"/>
      <w:r w:rsidRPr="000A0A8E">
        <w:rPr>
          <w:lang w:eastAsia="es-EC"/>
        </w:rPr>
        <w:t>fomento</w:t>
      </w:r>
      <w:proofErr w:type="spellEnd"/>
      <w:r w:rsidRPr="000A0A8E">
        <w:rPr>
          <w:lang w:eastAsia="es-EC"/>
        </w:rPr>
        <w:t xml:space="preserve"> de </w:t>
      </w:r>
      <w:proofErr w:type="spellStart"/>
      <w:r w:rsidRPr="000A0A8E">
        <w:rPr>
          <w:lang w:eastAsia="es-EC"/>
        </w:rPr>
        <w:t>acciones</w:t>
      </w:r>
      <w:proofErr w:type="spellEnd"/>
      <w:r w:rsidRPr="000A0A8E">
        <w:rPr>
          <w:lang w:eastAsia="es-EC"/>
        </w:rPr>
        <w:t xml:space="preserve"> </w:t>
      </w:r>
      <w:proofErr w:type="spellStart"/>
      <w:r w:rsidRPr="000A0A8E">
        <w:rPr>
          <w:lang w:eastAsia="es-EC"/>
        </w:rPr>
        <w:t>involucrando</w:t>
      </w:r>
      <w:proofErr w:type="spellEnd"/>
      <w:r w:rsidRPr="000A0A8E">
        <w:rPr>
          <w:lang w:eastAsia="es-EC"/>
        </w:rPr>
        <w:t xml:space="preserve"> la </w:t>
      </w:r>
      <w:proofErr w:type="spellStart"/>
      <w:r w:rsidRPr="000A0A8E">
        <w:rPr>
          <w:lang w:eastAsia="es-EC"/>
        </w:rPr>
        <w:t>población</w:t>
      </w:r>
      <w:proofErr w:type="spellEnd"/>
      <w:r w:rsidRPr="000A0A8E">
        <w:rPr>
          <w:lang w:eastAsia="es-EC"/>
        </w:rPr>
        <w:t xml:space="preserve">, </w:t>
      </w:r>
      <w:proofErr w:type="spellStart"/>
      <w:r w:rsidRPr="000A0A8E">
        <w:rPr>
          <w:lang w:eastAsia="es-EC"/>
        </w:rPr>
        <w:t>implementadas</w:t>
      </w:r>
      <w:proofErr w:type="spellEnd"/>
      <w:r w:rsidRPr="000A0A8E">
        <w:rPr>
          <w:lang w:eastAsia="es-EC"/>
        </w:rPr>
        <w:t xml:space="preserve"> en </w:t>
      </w:r>
      <w:proofErr w:type="spellStart"/>
      <w:r w:rsidRPr="000A0A8E">
        <w:rPr>
          <w:lang w:eastAsia="es-EC"/>
        </w:rPr>
        <w:t>tres</w:t>
      </w:r>
      <w:proofErr w:type="spellEnd"/>
      <w:r w:rsidRPr="000A0A8E">
        <w:rPr>
          <w:lang w:eastAsia="es-EC"/>
        </w:rPr>
        <w:t xml:space="preserve"> </w:t>
      </w:r>
      <w:proofErr w:type="spellStart"/>
      <w:r w:rsidRPr="000A0A8E">
        <w:rPr>
          <w:lang w:eastAsia="es-EC"/>
        </w:rPr>
        <w:t>dimensiones</w:t>
      </w:r>
      <w:proofErr w:type="spellEnd"/>
      <w:r w:rsidRPr="000A0A8E">
        <w:rPr>
          <w:lang w:eastAsia="es-EC"/>
        </w:rPr>
        <w:t xml:space="preserve"> de la </w:t>
      </w:r>
      <w:proofErr w:type="spellStart"/>
      <w:r w:rsidRPr="000A0A8E">
        <w:rPr>
          <w:lang w:eastAsia="es-EC"/>
        </w:rPr>
        <w:t>Política</w:t>
      </w:r>
      <w:proofErr w:type="spellEnd"/>
      <w:r w:rsidRPr="000A0A8E">
        <w:rPr>
          <w:lang w:eastAsia="es-EC"/>
        </w:rPr>
        <w:t xml:space="preserve"> </w:t>
      </w:r>
      <w:proofErr w:type="spellStart"/>
      <w:r w:rsidRPr="000A0A8E">
        <w:rPr>
          <w:lang w:eastAsia="es-EC"/>
        </w:rPr>
        <w:t>ambiental</w:t>
      </w:r>
      <w:proofErr w:type="spellEnd"/>
      <w:r w:rsidRPr="000A0A8E">
        <w:rPr>
          <w:lang w:eastAsia="es-EC"/>
        </w:rPr>
        <w:t xml:space="preserve">: </w:t>
      </w:r>
      <w:proofErr w:type="spellStart"/>
      <w:r w:rsidRPr="000A0A8E">
        <w:rPr>
          <w:lang w:eastAsia="es-EC"/>
        </w:rPr>
        <w:t>Gestión</w:t>
      </w:r>
      <w:proofErr w:type="spellEnd"/>
      <w:r w:rsidRPr="000A0A8E">
        <w:rPr>
          <w:lang w:eastAsia="es-EC"/>
        </w:rPr>
        <w:t xml:space="preserve"> </w:t>
      </w:r>
      <w:proofErr w:type="spellStart"/>
      <w:r w:rsidRPr="000A0A8E">
        <w:rPr>
          <w:lang w:eastAsia="es-EC"/>
        </w:rPr>
        <w:t>estratégica</w:t>
      </w:r>
      <w:proofErr w:type="spellEnd"/>
      <w:r w:rsidRPr="000A0A8E">
        <w:rPr>
          <w:lang w:eastAsia="es-EC"/>
        </w:rPr>
        <w:t xml:space="preserve">, </w:t>
      </w:r>
      <w:proofErr w:type="spellStart"/>
      <w:r w:rsidRPr="000A0A8E">
        <w:rPr>
          <w:lang w:eastAsia="es-EC"/>
        </w:rPr>
        <w:t>Conservación</w:t>
      </w:r>
      <w:proofErr w:type="spellEnd"/>
      <w:r w:rsidRPr="000A0A8E">
        <w:rPr>
          <w:lang w:eastAsia="es-EC"/>
        </w:rPr>
        <w:t xml:space="preserve"> y </w:t>
      </w:r>
      <w:proofErr w:type="spellStart"/>
      <w:r w:rsidRPr="000A0A8E">
        <w:rPr>
          <w:lang w:eastAsia="es-EC"/>
        </w:rPr>
        <w:t>Educación</w:t>
      </w:r>
      <w:proofErr w:type="spellEnd"/>
      <w:r w:rsidRPr="000A0A8E">
        <w:rPr>
          <w:lang w:eastAsia="es-EC"/>
        </w:rPr>
        <w:t xml:space="preserve">. Con el </w:t>
      </w:r>
      <w:proofErr w:type="spellStart"/>
      <w:r w:rsidRPr="000A0A8E">
        <w:rPr>
          <w:lang w:eastAsia="es-EC"/>
        </w:rPr>
        <w:t>propósito</w:t>
      </w:r>
      <w:proofErr w:type="spellEnd"/>
      <w:r w:rsidRPr="000A0A8E">
        <w:rPr>
          <w:lang w:eastAsia="es-EC"/>
        </w:rPr>
        <w:t xml:space="preserve"> de </w:t>
      </w:r>
      <w:proofErr w:type="spellStart"/>
      <w:r w:rsidRPr="000A0A8E">
        <w:rPr>
          <w:lang w:eastAsia="es-EC"/>
        </w:rPr>
        <w:t>establecer</w:t>
      </w:r>
      <w:proofErr w:type="spellEnd"/>
      <w:r w:rsidRPr="000A0A8E">
        <w:rPr>
          <w:lang w:eastAsia="es-EC"/>
        </w:rPr>
        <w:t xml:space="preserve"> la </w:t>
      </w:r>
      <w:proofErr w:type="spellStart"/>
      <w:r w:rsidRPr="000A0A8E">
        <w:rPr>
          <w:lang w:eastAsia="es-EC"/>
        </w:rPr>
        <w:t>planificación</w:t>
      </w:r>
      <w:proofErr w:type="spellEnd"/>
      <w:r w:rsidRPr="000A0A8E">
        <w:rPr>
          <w:lang w:eastAsia="es-EC"/>
        </w:rPr>
        <w:t xml:space="preserve"> </w:t>
      </w:r>
      <w:proofErr w:type="spellStart"/>
      <w:r w:rsidRPr="000A0A8E">
        <w:rPr>
          <w:lang w:eastAsia="es-EC"/>
        </w:rPr>
        <w:t>operativa</w:t>
      </w:r>
      <w:proofErr w:type="spellEnd"/>
      <w:r w:rsidRPr="000A0A8E">
        <w:rPr>
          <w:lang w:eastAsia="es-EC"/>
        </w:rPr>
        <w:t xml:space="preserve"> y el </w:t>
      </w:r>
      <w:proofErr w:type="spellStart"/>
      <w:r w:rsidRPr="000A0A8E">
        <w:rPr>
          <w:lang w:eastAsia="es-EC"/>
        </w:rPr>
        <w:t>uso</w:t>
      </w:r>
      <w:proofErr w:type="spellEnd"/>
      <w:r w:rsidRPr="000A0A8E">
        <w:rPr>
          <w:lang w:eastAsia="es-EC"/>
        </w:rPr>
        <w:t xml:space="preserve"> </w:t>
      </w:r>
      <w:proofErr w:type="spellStart"/>
      <w:r w:rsidRPr="000A0A8E">
        <w:rPr>
          <w:lang w:eastAsia="es-EC"/>
        </w:rPr>
        <w:t>correspondiente</w:t>
      </w:r>
      <w:proofErr w:type="spellEnd"/>
      <w:r w:rsidRPr="000A0A8E">
        <w:rPr>
          <w:lang w:eastAsia="es-EC"/>
        </w:rPr>
        <w:t xml:space="preserve"> de </w:t>
      </w:r>
      <w:proofErr w:type="spellStart"/>
      <w:r w:rsidRPr="000A0A8E">
        <w:rPr>
          <w:lang w:eastAsia="es-EC"/>
        </w:rPr>
        <w:t>insumos</w:t>
      </w:r>
      <w:proofErr w:type="spellEnd"/>
      <w:r w:rsidRPr="000A0A8E">
        <w:rPr>
          <w:lang w:eastAsia="es-EC"/>
        </w:rPr>
        <w:t xml:space="preserve"> y </w:t>
      </w:r>
      <w:proofErr w:type="spellStart"/>
      <w:r w:rsidRPr="000A0A8E">
        <w:rPr>
          <w:lang w:eastAsia="es-EC"/>
        </w:rPr>
        <w:t>estructura</w:t>
      </w:r>
      <w:proofErr w:type="spellEnd"/>
      <w:r w:rsidRPr="000A0A8E">
        <w:rPr>
          <w:lang w:eastAsia="es-EC"/>
        </w:rPr>
        <w:t xml:space="preserve"> </w:t>
      </w:r>
      <w:proofErr w:type="spellStart"/>
      <w:r w:rsidRPr="000A0A8E">
        <w:rPr>
          <w:lang w:eastAsia="es-EC"/>
        </w:rPr>
        <w:t>presupuesta</w:t>
      </w:r>
      <w:proofErr w:type="spellEnd"/>
      <w:r w:rsidRPr="000A0A8E">
        <w:rPr>
          <w:lang w:eastAsia="es-EC"/>
        </w:rPr>
        <w:t xml:space="preserve">, </w:t>
      </w:r>
      <w:proofErr w:type="spellStart"/>
      <w:r w:rsidRPr="000A0A8E">
        <w:rPr>
          <w:lang w:eastAsia="es-EC"/>
        </w:rPr>
        <w:t>está</w:t>
      </w:r>
      <w:proofErr w:type="spellEnd"/>
      <w:r w:rsidRPr="000A0A8E">
        <w:rPr>
          <w:lang w:eastAsia="es-EC"/>
        </w:rPr>
        <w:t xml:space="preserve"> </w:t>
      </w:r>
      <w:proofErr w:type="spellStart"/>
      <w:r w:rsidRPr="000A0A8E">
        <w:rPr>
          <w:lang w:eastAsia="es-EC"/>
        </w:rPr>
        <w:t>estrategia</w:t>
      </w:r>
      <w:proofErr w:type="spellEnd"/>
      <w:r w:rsidRPr="000A0A8E">
        <w:rPr>
          <w:lang w:eastAsia="es-EC"/>
        </w:rPr>
        <w:t xml:space="preserve"> se </w:t>
      </w:r>
      <w:proofErr w:type="spellStart"/>
      <w:r w:rsidRPr="000A0A8E">
        <w:rPr>
          <w:lang w:eastAsia="es-EC"/>
        </w:rPr>
        <w:t>declinó</w:t>
      </w:r>
      <w:proofErr w:type="spellEnd"/>
      <w:r w:rsidRPr="000A0A8E">
        <w:rPr>
          <w:lang w:eastAsia="es-EC"/>
        </w:rPr>
        <w:t xml:space="preserve"> en 5 </w:t>
      </w:r>
      <w:proofErr w:type="spellStart"/>
      <w:r w:rsidRPr="000A0A8E">
        <w:rPr>
          <w:lang w:eastAsia="es-EC"/>
        </w:rPr>
        <w:t>resultados</w:t>
      </w:r>
      <w:proofErr w:type="spellEnd"/>
      <w:r w:rsidRPr="000A0A8E">
        <w:rPr>
          <w:lang w:eastAsia="es-EC"/>
        </w:rPr>
        <w:t xml:space="preserve">: </w:t>
      </w:r>
    </w:p>
    <w:p w14:paraId="70953A2C" w14:textId="77777777" w:rsidR="000A0A8E" w:rsidRPr="000A0A8E" w:rsidRDefault="000A0A8E" w:rsidP="000A0A8E">
      <w:pPr>
        <w:pStyle w:val="Paragraphedeliste"/>
        <w:numPr>
          <w:ilvl w:val="0"/>
          <w:numId w:val="15"/>
        </w:numPr>
        <w:spacing w:after="0" w:line="240" w:lineRule="auto"/>
        <w:ind w:left="357" w:hanging="357"/>
        <w:jc w:val="both"/>
        <w:rPr>
          <w:lang w:eastAsia="es-EC"/>
        </w:rPr>
      </w:pPr>
      <w:proofErr w:type="spellStart"/>
      <w:r w:rsidRPr="000A0A8E">
        <w:rPr>
          <w:lang w:eastAsia="es-EC"/>
        </w:rPr>
        <w:t>Capacidades</w:t>
      </w:r>
      <w:proofErr w:type="spellEnd"/>
      <w:r w:rsidRPr="000A0A8E">
        <w:rPr>
          <w:lang w:eastAsia="es-EC"/>
        </w:rPr>
        <w:t xml:space="preserve"> de </w:t>
      </w:r>
      <w:proofErr w:type="spellStart"/>
      <w:r w:rsidRPr="000A0A8E">
        <w:rPr>
          <w:lang w:eastAsia="es-EC"/>
        </w:rPr>
        <w:t>gestión</w:t>
      </w:r>
      <w:proofErr w:type="spellEnd"/>
      <w:r w:rsidRPr="000A0A8E">
        <w:rPr>
          <w:lang w:eastAsia="es-EC"/>
        </w:rPr>
        <w:t xml:space="preserve"> </w:t>
      </w:r>
      <w:proofErr w:type="spellStart"/>
      <w:r w:rsidRPr="000A0A8E">
        <w:rPr>
          <w:lang w:eastAsia="es-EC"/>
        </w:rPr>
        <w:t>ambiental</w:t>
      </w:r>
      <w:proofErr w:type="spellEnd"/>
      <w:r w:rsidRPr="000A0A8E">
        <w:rPr>
          <w:lang w:eastAsia="es-EC"/>
        </w:rPr>
        <w:t xml:space="preserve"> </w:t>
      </w:r>
      <w:proofErr w:type="spellStart"/>
      <w:r w:rsidRPr="000A0A8E">
        <w:rPr>
          <w:lang w:eastAsia="es-EC"/>
        </w:rPr>
        <w:t>institucional</w:t>
      </w:r>
      <w:proofErr w:type="spellEnd"/>
      <w:r w:rsidRPr="000A0A8E">
        <w:rPr>
          <w:lang w:eastAsia="es-EC"/>
        </w:rPr>
        <w:t xml:space="preserve"> </w:t>
      </w:r>
      <w:proofErr w:type="spellStart"/>
      <w:r w:rsidRPr="000A0A8E">
        <w:rPr>
          <w:lang w:eastAsia="es-EC"/>
        </w:rPr>
        <w:t>regional</w:t>
      </w:r>
      <w:proofErr w:type="spellEnd"/>
      <w:r w:rsidRPr="000A0A8E">
        <w:rPr>
          <w:lang w:eastAsia="es-EC"/>
        </w:rPr>
        <w:t xml:space="preserve"> y local, en los </w:t>
      </w:r>
      <w:proofErr w:type="spellStart"/>
      <w:r w:rsidRPr="000A0A8E">
        <w:rPr>
          <w:lang w:eastAsia="es-EC"/>
        </w:rPr>
        <w:t>temas</w:t>
      </w:r>
      <w:proofErr w:type="spellEnd"/>
      <w:r w:rsidRPr="000A0A8E">
        <w:rPr>
          <w:lang w:eastAsia="es-EC"/>
        </w:rPr>
        <w:t xml:space="preserve"> de </w:t>
      </w:r>
      <w:proofErr w:type="spellStart"/>
      <w:r w:rsidRPr="000A0A8E">
        <w:rPr>
          <w:lang w:eastAsia="es-EC"/>
        </w:rPr>
        <w:t>planificación</w:t>
      </w:r>
      <w:proofErr w:type="spellEnd"/>
      <w:r w:rsidRPr="000A0A8E">
        <w:rPr>
          <w:lang w:eastAsia="es-EC"/>
        </w:rPr>
        <w:t xml:space="preserve">, de </w:t>
      </w:r>
      <w:proofErr w:type="spellStart"/>
      <w:r w:rsidRPr="000A0A8E">
        <w:rPr>
          <w:lang w:eastAsia="es-EC"/>
        </w:rPr>
        <w:t>ordenamiento</w:t>
      </w:r>
      <w:proofErr w:type="spellEnd"/>
      <w:r w:rsidRPr="000A0A8E">
        <w:rPr>
          <w:lang w:eastAsia="es-EC"/>
        </w:rPr>
        <w:t xml:space="preserve"> territorial y de </w:t>
      </w:r>
      <w:proofErr w:type="spellStart"/>
      <w:r w:rsidRPr="000A0A8E">
        <w:rPr>
          <w:lang w:eastAsia="es-EC"/>
        </w:rPr>
        <w:t>normatividad</w:t>
      </w:r>
      <w:proofErr w:type="spellEnd"/>
      <w:r w:rsidRPr="000A0A8E">
        <w:rPr>
          <w:lang w:eastAsia="es-EC"/>
        </w:rPr>
        <w:t xml:space="preserve">, </w:t>
      </w:r>
      <w:proofErr w:type="spellStart"/>
      <w:r w:rsidRPr="000A0A8E">
        <w:rPr>
          <w:lang w:eastAsia="es-EC"/>
        </w:rPr>
        <w:t>orientadas</w:t>
      </w:r>
      <w:proofErr w:type="spellEnd"/>
      <w:r w:rsidRPr="000A0A8E">
        <w:rPr>
          <w:lang w:eastAsia="es-EC"/>
        </w:rPr>
        <w:t xml:space="preserve"> a la </w:t>
      </w:r>
      <w:proofErr w:type="spellStart"/>
      <w:r w:rsidRPr="000A0A8E">
        <w:rPr>
          <w:lang w:eastAsia="es-EC"/>
        </w:rPr>
        <w:t>valoración</w:t>
      </w:r>
      <w:proofErr w:type="spellEnd"/>
      <w:r w:rsidRPr="000A0A8E">
        <w:rPr>
          <w:lang w:eastAsia="es-EC"/>
        </w:rPr>
        <w:t xml:space="preserve"> de los </w:t>
      </w:r>
      <w:proofErr w:type="spellStart"/>
      <w:r w:rsidRPr="000A0A8E">
        <w:rPr>
          <w:lang w:eastAsia="es-EC"/>
        </w:rPr>
        <w:t>ecosistemas</w:t>
      </w:r>
      <w:proofErr w:type="spellEnd"/>
      <w:r w:rsidRPr="000A0A8E">
        <w:rPr>
          <w:lang w:eastAsia="es-EC"/>
        </w:rPr>
        <w:t xml:space="preserve"> y la </w:t>
      </w:r>
      <w:proofErr w:type="spellStart"/>
      <w:r w:rsidRPr="000A0A8E">
        <w:rPr>
          <w:lang w:eastAsia="es-EC"/>
        </w:rPr>
        <w:t>valorización</w:t>
      </w:r>
      <w:proofErr w:type="spellEnd"/>
      <w:r w:rsidRPr="000A0A8E">
        <w:rPr>
          <w:lang w:eastAsia="es-EC"/>
        </w:rPr>
        <w:t xml:space="preserve"> de la </w:t>
      </w:r>
      <w:proofErr w:type="spellStart"/>
      <w:r w:rsidRPr="000A0A8E">
        <w:rPr>
          <w:lang w:eastAsia="es-EC"/>
        </w:rPr>
        <w:t>diversidad</w:t>
      </w:r>
      <w:proofErr w:type="spellEnd"/>
      <w:r w:rsidRPr="000A0A8E">
        <w:rPr>
          <w:lang w:eastAsia="es-EC"/>
        </w:rPr>
        <w:t xml:space="preserve"> </w:t>
      </w:r>
      <w:proofErr w:type="spellStart"/>
      <w:r w:rsidRPr="000A0A8E">
        <w:rPr>
          <w:lang w:eastAsia="es-EC"/>
        </w:rPr>
        <w:t>biológica</w:t>
      </w:r>
      <w:proofErr w:type="spellEnd"/>
      <w:r w:rsidRPr="000A0A8E">
        <w:rPr>
          <w:lang w:eastAsia="es-EC"/>
        </w:rPr>
        <w:t>.</w:t>
      </w:r>
    </w:p>
    <w:p w14:paraId="27E59D60" w14:textId="77777777" w:rsidR="000A0A8E" w:rsidRPr="000A0A8E" w:rsidRDefault="000A0A8E" w:rsidP="000A0A8E">
      <w:pPr>
        <w:pStyle w:val="Paragraphedeliste"/>
        <w:numPr>
          <w:ilvl w:val="0"/>
          <w:numId w:val="15"/>
        </w:numPr>
        <w:spacing w:after="0" w:line="240" w:lineRule="auto"/>
        <w:ind w:left="357" w:hanging="357"/>
        <w:jc w:val="both"/>
        <w:rPr>
          <w:lang w:eastAsia="es-EC"/>
        </w:rPr>
      </w:pPr>
      <w:proofErr w:type="spellStart"/>
      <w:r w:rsidRPr="000A0A8E">
        <w:rPr>
          <w:lang w:eastAsia="es-EC"/>
        </w:rPr>
        <w:t>Manejo</w:t>
      </w:r>
      <w:proofErr w:type="spellEnd"/>
      <w:r w:rsidRPr="000A0A8E">
        <w:rPr>
          <w:lang w:eastAsia="es-EC"/>
        </w:rPr>
        <w:t xml:space="preserve">  de las </w:t>
      </w:r>
      <w:proofErr w:type="spellStart"/>
      <w:r w:rsidRPr="000A0A8E">
        <w:rPr>
          <w:lang w:eastAsia="es-EC"/>
        </w:rPr>
        <w:t>áreas</w:t>
      </w:r>
      <w:proofErr w:type="spellEnd"/>
      <w:r w:rsidRPr="000A0A8E">
        <w:rPr>
          <w:lang w:eastAsia="es-EC"/>
        </w:rPr>
        <w:t xml:space="preserve"> de </w:t>
      </w:r>
      <w:proofErr w:type="spellStart"/>
      <w:r w:rsidRPr="000A0A8E">
        <w:rPr>
          <w:lang w:eastAsia="es-EC"/>
        </w:rPr>
        <w:t>conservación</w:t>
      </w:r>
      <w:proofErr w:type="spellEnd"/>
      <w:r w:rsidRPr="000A0A8E">
        <w:rPr>
          <w:lang w:eastAsia="es-EC"/>
        </w:rPr>
        <w:t xml:space="preserve"> y de su </w:t>
      </w:r>
      <w:proofErr w:type="spellStart"/>
      <w:r w:rsidRPr="000A0A8E">
        <w:rPr>
          <w:lang w:eastAsia="es-EC"/>
        </w:rPr>
        <w:t>entorno</w:t>
      </w:r>
      <w:proofErr w:type="spellEnd"/>
      <w:r w:rsidRPr="000A0A8E">
        <w:rPr>
          <w:lang w:eastAsia="es-EC"/>
        </w:rPr>
        <w:t xml:space="preserve">, </w:t>
      </w:r>
      <w:proofErr w:type="spellStart"/>
      <w:r w:rsidRPr="000A0A8E">
        <w:rPr>
          <w:lang w:eastAsia="es-EC"/>
        </w:rPr>
        <w:t>articulado</w:t>
      </w:r>
      <w:proofErr w:type="spellEnd"/>
      <w:r w:rsidRPr="000A0A8E">
        <w:rPr>
          <w:lang w:eastAsia="es-EC"/>
        </w:rPr>
        <w:t xml:space="preserve"> con el </w:t>
      </w:r>
      <w:proofErr w:type="spellStart"/>
      <w:r w:rsidRPr="000A0A8E">
        <w:rPr>
          <w:lang w:eastAsia="es-EC"/>
        </w:rPr>
        <w:t>aprovechamiento</w:t>
      </w:r>
      <w:proofErr w:type="spellEnd"/>
      <w:r w:rsidRPr="000A0A8E">
        <w:rPr>
          <w:lang w:eastAsia="es-EC"/>
        </w:rPr>
        <w:t xml:space="preserve"> </w:t>
      </w:r>
      <w:proofErr w:type="spellStart"/>
      <w:r w:rsidRPr="000A0A8E">
        <w:rPr>
          <w:lang w:eastAsia="es-EC"/>
        </w:rPr>
        <w:t>sostenible</w:t>
      </w:r>
      <w:proofErr w:type="spellEnd"/>
      <w:r w:rsidRPr="000A0A8E">
        <w:rPr>
          <w:lang w:eastAsia="es-EC"/>
        </w:rPr>
        <w:t xml:space="preserve"> </w:t>
      </w:r>
      <w:proofErr w:type="spellStart"/>
      <w:r w:rsidRPr="000A0A8E">
        <w:rPr>
          <w:lang w:eastAsia="es-EC"/>
        </w:rPr>
        <w:t>por</w:t>
      </w:r>
      <w:proofErr w:type="spellEnd"/>
      <w:r w:rsidRPr="000A0A8E">
        <w:rPr>
          <w:lang w:eastAsia="es-EC"/>
        </w:rPr>
        <w:t xml:space="preserve"> parte de los </w:t>
      </w:r>
      <w:proofErr w:type="spellStart"/>
      <w:r w:rsidRPr="000A0A8E">
        <w:rPr>
          <w:lang w:eastAsia="es-EC"/>
        </w:rPr>
        <w:t>actores</w:t>
      </w:r>
      <w:proofErr w:type="spellEnd"/>
      <w:r w:rsidRPr="000A0A8E">
        <w:rPr>
          <w:lang w:eastAsia="es-EC"/>
        </w:rPr>
        <w:t xml:space="preserve"> clave</w:t>
      </w:r>
    </w:p>
    <w:p w14:paraId="2ED33B3A" w14:textId="77777777" w:rsidR="000A0A8E" w:rsidRPr="000A0A8E" w:rsidRDefault="000A0A8E" w:rsidP="000A0A8E">
      <w:pPr>
        <w:pStyle w:val="Paragraphedeliste"/>
        <w:numPr>
          <w:ilvl w:val="0"/>
          <w:numId w:val="15"/>
        </w:numPr>
        <w:spacing w:after="0" w:line="240" w:lineRule="auto"/>
        <w:ind w:left="357" w:hanging="357"/>
        <w:jc w:val="both"/>
        <w:rPr>
          <w:lang w:eastAsia="es-EC"/>
        </w:rPr>
      </w:pPr>
      <w:proofErr w:type="spellStart"/>
      <w:r w:rsidRPr="000A0A8E">
        <w:rPr>
          <w:lang w:eastAsia="es-EC"/>
        </w:rPr>
        <w:t>Aprovechamiento</w:t>
      </w:r>
      <w:proofErr w:type="spellEnd"/>
      <w:r w:rsidRPr="000A0A8E">
        <w:rPr>
          <w:lang w:eastAsia="es-EC"/>
        </w:rPr>
        <w:t xml:space="preserve"> </w:t>
      </w:r>
      <w:proofErr w:type="spellStart"/>
      <w:r w:rsidRPr="000A0A8E">
        <w:rPr>
          <w:lang w:eastAsia="es-EC"/>
        </w:rPr>
        <w:t>sostenible</w:t>
      </w:r>
      <w:proofErr w:type="spellEnd"/>
      <w:r w:rsidRPr="000A0A8E">
        <w:rPr>
          <w:lang w:eastAsia="es-EC"/>
        </w:rPr>
        <w:t xml:space="preserve"> de la </w:t>
      </w:r>
      <w:proofErr w:type="spellStart"/>
      <w:r w:rsidRPr="000A0A8E">
        <w:rPr>
          <w:lang w:eastAsia="es-EC"/>
        </w:rPr>
        <w:t>biodiversidad</w:t>
      </w:r>
      <w:proofErr w:type="spellEnd"/>
      <w:r w:rsidRPr="000A0A8E">
        <w:rPr>
          <w:lang w:eastAsia="es-EC"/>
        </w:rPr>
        <w:t xml:space="preserve">, de los </w:t>
      </w:r>
      <w:proofErr w:type="spellStart"/>
      <w:r w:rsidRPr="000A0A8E">
        <w:rPr>
          <w:lang w:eastAsia="es-EC"/>
        </w:rPr>
        <w:t>recursos</w:t>
      </w:r>
      <w:proofErr w:type="spellEnd"/>
      <w:r w:rsidRPr="000A0A8E">
        <w:rPr>
          <w:lang w:eastAsia="es-EC"/>
        </w:rPr>
        <w:t xml:space="preserve"> </w:t>
      </w:r>
      <w:proofErr w:type="spellStart"/>
      <w:r w:rsidRPr="000A0A8E">
        <w:rPr>
          <w:lang w:eastAsia="es-EC"/>
        </w:rPr>
        <w:t>naturales</w:t>
      </w:r>
      <w:proofErr w:type="spellEnd"/>
      <w:r w:rsidRPr="000A0A8E">
        <w:rPr>
          <w:lang w:eastAsia="es-EC"/>
        </w:rPr>
        <w:t xml:space="preserve"> y de los </w:t>
      </w:r>
      <w:proofErr w:type="spellStart"/>
      <w:r w:rsidRPr="000A0A8E">
        <w:rPr>
          <w:lang w:eastAsia="es-EC"/>
        </w:rPr>
        <w:t>servicios</w:t>
      </w:r>
      <w:proofErr w:type="spellEnd"/>
      <w:r w:rsidRPr="000A0A8E">
        <w:rPr>
          <w:lang w:eastAsia="es-EC"/>
        </w:rPr>
        <w:t xml:space="preserve"> </w:t>
      </w:r>
      <w:proofErr w:type="spellStart"/>
      <w:r w:rsidRPr="000A0A8E">
        <w:rPr>
          <w:lang w:eastAsia="es-EC"/>
        </w:rPr>
        <w:t>ambientales</w:t>
      </w:r>
      <w:proofErr w:type="spellEnd"/>
      <w:r w:rsidRPr="000A0A8E">
        <w:rPr>
          <w:lang w:eastAsia="es-EC"/>
        </w:rPr>
        <w:t xml:space="preserve">, en el </w:t>
      </w:r>
      <w:proofErr w:type="spellStart"/>
      <w:r w:rsidRPr="000A0A8E">
        <w:rPr>
          <w:lang w:eastAsia="es-EC"/>
        </w:rPr>
        <w:t>marco</w:t>
      </w:r>
      <w:proofErr w:type="spellEnd"/>
      <w:r w:rsidRPr="000A0A8E">
        <w:rPr>
          <w:lang w:eastAsia="es-EC"/>
        </w:rPr>
        <w:t xml:space="preserve"> de </w:t>
      </w:r>
      <w:proofErr w:type="spellStart"/>
      <w:r w:rsidRPr="000A0A8E">
        <w:rPr>
          <w:lang w:eastAsia="es-EC"/>
        </w:rPr>
        <w:t>sistemas</w:t>
      </w:r>
      <w:proofErr w:type="spellEnd"/>
      <w:r w:rsidRPr="000A0A8E">
        <w:rPr>
          <w:lang w:eastAsia="es-EC"/>
        </w:rPr>
        <w:t xml:space="preserve"> de </w:t>
      </w:r>
      <w:proofErr w:type="spellStart"/>
      <w:r w:rsidRPr="000A0A8E">
        <w:rPr>
          <w:lang w:eastAsia="es-EC"/>
        </w:rPr>
        <w:t>producción</w:t>
      </w:r>
      <w:proofErr w:type="spellEnd"/>
      <w:r w:rsidRPr="000A0A8E">
        <w:rPr>
          <w:lang w:eastAsia="es-EC"/>
        </w:rPr>
        <w:t xml:space="preserve"> </w:t>
      </w:r>
      <w:proofErr w:type="spellStart"/>
      <w:r w:rsidRPr="00256DD3">
        <w:t>sostenible</w:t>
      </w:r>
      <w:proofErr w:type="spellEnd"/>
      <w:r w:rsidRPr="00256DD3">
        <w:t xml:space="preserve"> y cadenas de </w:t>
      </w:r>
      <w:proofErr w:type="spellStart"/>
      <w:r w:rsidRPr="00256DD3">
        <w:t>valor</w:t>
      </w:r>
      <w:proofErr w:type="spellEnd"/>
      <w:r w:rsidRPr="00256DD3">
        <w:t xml:space="preserve">. </w:t>
      </w:r>
    </w:p>
    <w:p w14:paraId="7893E141" w14:textId="77777777" w:rsidR="000A0A8E" w:rsidRPr="000A0A8E" w:rsidRDefault="000A0A8E" w:rsidP="000A0A8E">
      <w:pPr>
        <w:pStyle w:val="Paragraphedeliste"/>
        <w:numPr>
          <w:ilvl w:val="0"/>
          <w:numId w:val="15"/>
        </w:numPr>
        <w:spacing w:after="0" w:line="240" w:lineRule="auto"/>
        <w:ind w:left="357" w:hanging="357"/>
        <w:jc w:val="both"/>
        <w:rPr>
          <w:lang w:eastAsia="es-EC"/>
        </w:rPr>
      </w:pPr>
      <w:proofErr w:type="spellStart"/>
      <w:r>
        <w:t>Participación</w:t>
      </w:r>
      <w:proofErr w:type="spellEnd"/>
      <w:r>
        <w:t xml:space="preserve"> y </w:t>
      </w:r>
      <w:proofErr w:type="spellStart"/>
      <w:r>
        <w:t>vigilancia</w:t>
      </w:r>
      <w:proofErr w:type="spellEnd"/>
      <w:r>
        <w:t xml:space="preserve"> de la </w:t>
      </w:r>
      <w:proofErr w:type="spellStart"/>
      <w:r>
        <w:t>población</w:t>
      </w:r>
      <w:proofErr w:type="spellEnd"/>
      <w:r>
        <w:t xml:space="preserve"> en la GERRNN sobre la base de </w:t>
      </w:r>
      <w:proofErr w:type="spellStart"/>
      <w:r>
        <w:t>conciencia</w:t>
      </w:r>
      <w:proofErr w:type="spellEnd"/>
      <w:r>
        <w:t xml:space="preserve"> y de </w:t>
      </w:r>
      <w:proofErr w:type="spellStart"/>
      <w:r>
        <w:t>formación</w:t>
      </w:r>
      <w:proofErr w:type="spellEnd"/>
      <w:r>
        <w:t>.</w:t>
      </w:r>
    </w:p>
    <w:p w14:paraId="5C357BDD" w14:textId="77777777" w:rsidR="000A0A8E" w:rsidRPr="005C46AA" w:rsidRDefault="000A0A8E" w:rsidP="000A0A8E">
      <w:pPr>
        <w:pStyle w:val="Paragraphedeliste"/>
        <w:numPr>
          <w:ilvl w:val="0"/>
          <w:numId w:val="15"/>
        </w:numPr>
        <w:spacing w:after="0" w:line="240" w:lineRule="auto"/>
        <w:ind w:left="357" w:hanging="357"/>
        <w:jc w:val="both"/>
      </w:pPr>
      <w:proofErr w:type="spellStart"/>
      <w:r w:rsidRPr="005C46AA">
        <w:t>Mejor</w:t>
      </w:r>
      <w:proofErr w:type="spellEnd"/>
      <w:r w:rsidRPr="005C46AA">
        <w:t xml:space="preserve"> </w:t>
      </w:r>
      <w:proofErr w:type="spellStart"/>
      <w:r w:rsidRPr="005C46AA">
        <w:t>gestión</w:t>
      </w:r>
      <w:proofErr w:type="spellEnd"/>
      <w:r w:rsidRPr="005C46AA">
        <w:t xml:space="preserve"> </w:t>
      </w:r>
      <w:proofErr w:type="spellStart"/>
      <w:r w:rsidRPr="005C46AA">
        <w:t>institucional</w:t>
      </w:r>
      <w:proofErr w:type="spellEnd"/>
      <w:r w:rsidRPr="005C46AA">
        <w:t xml:space="preserve"> </w:t>
      </w:r>
      <w:proofErr w:type="spellStart"/>
      <w:r>
        <w:t>basada</w:t>
      </w:r>
      <w:proofErr w:type="spellEnd"/>
      <w:r>
        <w:t xml:space="preserve"> en la</w:t>
      </w:r>
      <w:r w:rsidRPr="005C46AA">
        <w:t xml:space="preserve"> </w:t>
      </w:r>
      <w:proofErr w:type="spellStart"/>
      <w:r w:rsidRPr="005C46AA">
        <w:t>articulación</w:t>
      </w:r>
      <w:proofErr w:type="spellEnd"/>
      <w:r w:rsidRPr="005C46AA">
        <w:t xml:space="preserve">, </w:t>
      </w:r>
      <w:proofErr w:type="spellStart"/>
      <w:r w:rsidRPr="005C46AA">
        <w:t>concertación</w:t>
      </w:r>
      <w:proofErr w:type="spellEnd"/>
      <w:r w:rsidRPr="005C46AA">
        <w:t xml:space="preserve"> y la </w:t>
      </w:r>
      <w:proofErr w:type="spellStart"/>
      <w:r w:rsidRPr="005C46AA">
        <w:t>colaboración</w:t>
      </w:r>
      <w:proofErr w:type="spellEnd"/>
      <w:r w:rsidRPr="005C46AA">
        <w:t xml:space="preserve"> </w:t>
      </w:r>
      <w:proofErr w:type="spellStart"/>
      <w:r w:rsidRPr="005C46AA">
        <w:t>int</w:t>
      </w:r>
      <w:r>
        <w:t>ersectorial</w:t>
      </w:r>
      <w:proofErr w:type="spellEnd"/>
      <w:r>
        <w:t xml:space="preserve"> e </w:t>
      </w:r>
      <w:proofErr w:type="spellStart"/>
      <w:r>
        <w:t>intergubernamental</w:t>
      </w:r>
      <w:proofErr w:type="spellEnd"/>
      <w:r>
        <w:t xml:space="preserve">, </w:t>
      </w:r>
      <w:proofErr w:type="spellStart"/>
      <w:r>
        <w:t>alimentada</w:t>
      </w:r>
      <w:proofErr w:type="spellEnd"/>
      <w:r>
        <w:t xml:space="preserve"> </w:t>
      </w:r>
      <w:proofErr w:type="spellStart"/>
      <w:r>
        <w:t>por</w:t>
      </w:r>
      <w:proofErr w:type="spellEnd"/>
      <w:r>
        <w:t xml:space="preserve"> </w:t>
      </w:r>
      <w:proofErr w:type="spellStart"/>
      <w:r>
        <w:t>información</w:t>
      </w:r>
      <w:proofErr w:type="spellEnd"/>
      <w:r>
        <w:t xml:space="preserve"> y </w:t>
      </w:r>
      <w:proofErr w:type="spellStart"/>
      <w:r>
        <w:t>acceso</w:t>
      </w:r>
      <w:proofErr w:type="spellEnd"/>
      <w:r>
        <w:t xml:space="preserve"> a la </w:t>
      </w:r>
      <w:proofErr w:type="spellStart"/>
      <w:r>
        <w:t>misma</w:t>
      </w:r>
      <w:proofErr w:type="spellEnd"/>
      <w:r w:rsidRPr="005C46AA">
        <w:t>.</w:t>
      </w:r>
    </w:p>
    <w:p w14:paraId="3A4F2923" w14:textId="77777777" w:rsidR="000A0A8E" w:rsidRDefault="000A0A8E" w:rsidP="000A0A8E">
      <w:pPr>
        <w:rPr>
          <w:lang w:val="es-PE" w:eastAsia="es-EC"/>
        </w:rPr>
      </w:pPr>
    </w:p>
    <w:p w14:paraId="7649F24F" w14:textId="77777777" w:rsidR="000A0A8E" w:rsidRPr="000A0A8E" w:rsidRDefault="000A0A8E" w:rsidP="000A0A8E">
      <w:pPr>
        <w:rPr>
          <w:lang w:val="es-PE" w:eastAsia="es-EC"/>
        </w:rPr>
      </w:pPr>
      <w:r w:rsidRPr="000A0A8E">
        <w:rPr>
          <w:lang w:val="es-PE" w:eastAsia="es-EC"/>
        </w:rPr>
        <w:t>El PRODERN II se enmarcó en el Convenio General de Cooperación firmado entre el Gobierno Peruano y el Reino de Bélgica en el año 1965, y en los lineamientos de la política sectorial y funcional del Ministerio del Ambiente (MINAM), así como en los objetivos estratégicos de los Gobiernos Regionales y Locales en el ámbito geográfico del Programa, considerados en sus Planes de Desarrollo Concertados (PDC). Contó con un presupuesto total de € 19.159.035, de los cuales € 13’064,035 son de contribución belga, y una contribución nacional valorada en € 6’095,000, parte en presupuesto y parte en la valoración de sus recursos humanos y otros. Este presupuesto fue ejecutado casi enteramente bajo la modalidad de financiamiento de Co-gestión, salvo los rubros de personal que son ejecutados directamente – en “</w:t>
      </w:r>
      <w:proofErr w:type="spellStart"/>
      <w:r w:rsidRPr="000A0A8E">
        <w:rPr>
          <w:lang w:val="es-PE" w:eastAsia="es-EC"/>
        </w:rPr>
        <w:t>régie</w:t>
      </w:r>
      <w:proofErr w:type="spellEnd"/>
      <w:r w:rsidRPr="000A0A8E">
        <w:rPr>
          <w:lang w:val="es-PE" w:eastAsia="es-EC"/>
        </w:rPr>
        <w:t>”. El Programa tiene una duración de 6 años.</w:t>
      </w:r>
    </w:p>
    <w:p w14:paraId="271FC1C6" w14:textId="77777777" w:rsidR="000A0A8E" w:rsidRPr="000A0A8E" w:rsidRDefault="000A0A8E" w:rsidP="000A0A8E">
      <w:pPr>
        <w:rPr>
          <w:lang w:eastAsia="es-EC"/>
        </w:rPr>
      </w:pPr>
      <w:r w:rsidRPr="000A0A8E">
        <w:rPr>
          <w:lang w:val="es-PE" w:eastAsia="es-EC"/>
        </w:rPr>
        <w:t>El PRODERN nació en un contexto y cerró en otro. Sobre la evolución del contexto, se plasma la línea de tiempo del Programa, con un ciclo inicialmente concebido en 3 etapas: Fase 1: Inicio del Programa (9 meses), Fase 2: Implementación de las actividades del Programa (51 meses), y Fase 3: Transferencia y capitalización del Programa (12 meses). La fase 1 se alargó a todo el 2</w:t>
      </w:r>
      <w:r w:rsidRPr="000A0A8E">
        <w:rPr>
          <w:lang w:eastAsia="es-EC"/>
        </w:rPr>
        <w:t xml:space="preserve">013; la </w:t>
      </w:r>
      <w:proofErr w:type="spellStart"/>
      <w:r w:rsidRPr="000A0A8E">
        <w:rPr>
          <w:lang w:eastAsia="es-EC"/>
        </w:rPr>
        <w:t>fase</w:t>
      </w:r>
      <w:proofErr w:type="spellEnd"/>
      <w:r w:rsidRPr="000A0A8E">
        <w:rPr>
          <w:lang w:eastAsia="es-EC"/>
        </w:rPr>
        <w:t xml:space="preserve"> de </w:t>
      </w:r>
      <w:proofErr w:type="spellStart"/>
      <w:r w:rsidRPr="000A0A8E">
        <w:rPr>
          <w:lang w:eastAsia="es-EC"/>
        </w:rPr>
        <w:t>implementación</w:t>
      </w:r>
      <w:proofErr w:type="spellEnd"/>
      <w:r w:rsidRPr="000A0A8E">
        <w:rPr>
          <w:lang w:eastAsia="es-EC"/>
        </w:rPr>
        <w:t xml:space="preserve"> se </w:t>
      </w:r>
      <w:proofErr w:type="spellStart"/>
      <w:r w:rsidRPr="000A0A8E">
        <w:rPr>
          <w:lang w:eastAsia="es-EC"/>
        </w:rPr>
        <w:t>divide</w:t>
      </w:r>
      <w:proofErr w:type="spellEnd"/>
      <w:r w:rsidRPr="000A0A8E">
        <w:rPr>
          <w:lang w:eastAsia="es-EC"/>
        </w:rPr>
        <w:t xml:space="preserve"> en dos, con </w:t>
      </w:r>
      <w:proofErr w:type="spellStart"/>
      <w:r w:rsidRPr="000A0A8E">
        <w:rPr>
          <w:lang w:eastAsia="es-EC"/>
        </w:rPr>
        <w:t>una</w:t>
      </w:r>
      <w:proofErr w:type="spellEnd"/>
      <w:r w:rsidRPr="000A0A8E">
        <w:rPr>
          <w:lang w:eastAsia="es-EC"/>
        </w:rPr>
        <w:t xml:space="preserve"> </w:t>
      </w:r>
      <w:proofErr w:type="spellStart"/>
      <w:r w:rsidRPr="000A0A8E">
        <w:rPr>
          <w:lang w:eastAsia="es-EC"/>
        </w:rPr>
        <w:t>reorientación</w:t>
      </w:r>
      <w:proofErr w:type="spellEnd"/>
      <w:r w:rsidRPr="000A0A8E">
        <w:rPr>
          <w:lang w:eastAsia="es-EC"/>
        </w:rPr>
        <w:t xml:space="preserve"> </w:t>
      </w:r>
      <w:proofErr w:type="spellStart"/>
      <w:r w:rsidRPr="000A0A8E">
        <w:rPr>
          <w:lang w:eastAsia="es-EC"/>
        </w:rPr>
        <w:t>a</w:t>
      </w:r>
      <w:proofErr w:type="spellEnd"/>
      <w:r w:rsidRPr="000A0A8E">
        <w:rPr>
          <w:lang w:eastAsia="es-EC"/>
        </w:rPr>
        <w:t xml:space="preserve"> partir de 2015, y la </w:t>
      </w:r>
      <w:proofErr w:type="spellStart"/>
      <w:r w:rsidRPr="000A0A8E">
        <w:rPr>
          <w:lang w:eastAsia="es-EC"/>
        </w:rPr>
        <w:t>fase</w:t>
      </w:r>
      <w:proofErr w:type="spellEnd"/>
      <w:r w:rsidRPr="000A0A8E">
        <w:rPr>
          <w:lang w:eastAsia="es-EC"/>
        </w:rPr>
        <w:t xml:space="preserve"> 3 se </w:t>
      </w:r>
      <w:proofErr w:type="spellStart"/>
      <w:r w:rsidRPr="000A0A8E">
        <w:rPr>
          <w:lang w:eastAsia="es-EC"/>
        </w:rPr>
        <w:t>reduce</w:t>
      </w:r>
      <w:proofErr w:type="spellEnd"/>
      <w:r w:rsidRPr="000A0A8E">
        <w:rPr>
          <w:lang w:eastAsia="es-EC"/>
        </w:rPr>
        <w:t xml:space="preserve"> a 8 </w:t>
      </w:r>
      <w:proofErr w:type="spellStart"/>
      <w:r w:rsidRPr="000A0A8E">
        <w:rPr>
          <w:lang w:eastAsia="es-EC"/>
        </w:rPr>
        <w:t>meses</w:t>
      </w:r>
      <w:proofErr w:type="spellEnd"/>
      <w:r w:rsidRPr="000A0A8E">
        <w:rPr>
          <w:lang w:eastAsia="es-EC"/>
        </w:rPr>
        <w:t>.</w:t>
      </w:r>
    </w:p>
    <w:p w14:paraId="6D3A059D" w14:textId="77777777" w:rsidR="000A0A8E" w:rsidRPr="000A0A8E" w:rsidRDefault="000A0A8E" w:rsidP="000A0A8E">
      <w:pPr>
        <w:rPr>
          <w:lang w:val="es-PE" w:eastAsia="es-EC"/>
        </w:rPr>
      </w:pPr>
      <w:r w:rsidRPr="000A0A8E">
        <w:rPr>
          <w:lang w:eastAsia="es-EC"/>
        </w:rPr>
        <w:t>L</w:t>
      </w:r>
      <w:r w:rsidRPr="000A0A8E">
        <w:rPr>
          <w:lang w:val="es-PE" w:eastAsia="es-EC"/>
        </w:rPr>
        <w:t xml:space="preserve">as nociones de “Paisajes multifuncionales” y de “Acuerdos de Gestión Territorial” cumplen con estas condiciones. Mientras que el fortalecimiento institucional inicialmente planificado por el PRODERN daba prioridad en el tema de Ordenamiento Territorial, apoyando procesos de ZEE, acompañado por la </w:t>
      </w:r>
      <w:proofErr w:type="spellStart"/>
      <w:r w:rsidRPr="000A0A8E">
        <w:rPr>
          <w:lang w:val="es-PE" w:eastAsia="es-EC"/>
        </w:rPr>
        <w:t>transversalización</w:t>
      </w:r>
      <w:proofErr w:type="spellEnd"/>
      <w:r w:rsidRPr="000A0A8E">
        <w:rPr>
          <w:lang w:val="es-PE" w:eastAsia="es-EC"/>
        </w:rPr>
        <w:t xml:space="preserve"> en la planificación, el enfoque fue cambiando hacia el apoyo a una gestión territorial aplicada a un paisaje multifuncional.  A fines del año 2014, se publicó el libro Paisajes Climáticamente Inteligentes: Multifuncionalidad en Práctica</w:t>
      </w:r>
      <w:r w:rsidRPr="000A0A8E">
        <w:rPr>
          <w:vertAlign w:val="superscript"/>
          <w:lang w:val="es-PE" w:eastAsia="es-EC"/>
        </w:rPr>
        <w:footnoteReference w:id="1"/>
      </w:r>
      <w:r w:rsidRPr="000A0A8E">
        <w:rPr>
          <w:lang w:val="es-PE" w:eastAsia="es-EC"/>
        </w:rPr>
        <w:t>, que contribuyó a dar un nuevo horizonte a la reflexión interna sobre la estrategia de intervención. A inicios del 2015, se incorporó expresamente el enfoque de paisaje multifuncional como estrategia de intervención, como una forma de dar respuesta a los cambios que se venían dando en el contexto de la intervención.</w:t>
      </w:r>
    </w:p>
    <w:p w14:paraId="33BB6F54" w14:textId="77777777" w:rsidR="000A0A8E" w:rsidRPr="000A0A8E" w:rsidRDefault="000A0A8E" w:rsidP="000A0A8E">
      <w:pPr>
        <w:rPr>
          <w:i/>
          <w:color w:val="404040"/>
          <w:lang w:eastAsia="es-EC"/>
        </w:rPr>
      </w:pPr>
      <w:proofErr w:type="spellStart"/>
      <w:r w:rsidRPr="000A0A8E">
        <w:rPr>
          <w:i/>
          <w:color w:val="404040"/>
          <w:lang w:eastAsia="es-EC"/>
        </w:rPr>
        <w:t>Mandato</w:t>
      </w:r>
      <w:proofErr w:type="spellEnd"/>
      <w:r w:rsidRPr="000A0A8E">
        <w:rPr>
          <w:i/>
          <w:color w:val="404040"/>
          <w:lang w:eastAsia="es-EC"/>
        </w:rPr>
        <w:t xml:space="preserve"> y </w:t>
      </w:r>
      <w:proofErr w:type="spellStart"/>
      <w:r w:rsidRPr="000A0A8E">
        <w:rPr>
          <w:i/>
          <w:color w:val="404040"/>
          <w:lang w:eastAsia="es-EC"/>
        </w:rPr>
        <w:t>metodología</w:t>
      </w:r>
      <w:proofErr w:type="spellEnd"/>
      <w:r w:rsidRPr="000A0A8E">
        <w:rPr>
          <w:i/>
          <w:color w:val="404040"/>
          <w:lang w:eastAsia="es-EC"/>
        </w:rPr>
        <w:t xml:space="preserve"> de la </w:t>
      </w:r>
      <w:proofErr w:type="spellStart"/>
      <w:r w:rsidRPr="000A0A8E">
        <w:rPr>
          <w:i/>
          <w:color w:val="404040"/>
          <w:lang w:eastAsia="es-EC"/>
        </w:rPr>
        <w:t>evaluación</w:t>
      </w:r>
      <w:proofErr w:type="spellEnd"/>
    </w:p>
    <w:p w14:paraId="38AABC16" w14:textId="77777777" w:rsidR="000A0A8E" w:rsidRPr="000A0A8E" w:rsidRDefault="000A0A8E" w:rsidP="000A0A8E">
      <w:pPr>
        <w:rPr>
          <w:lang w:val="es-PE" w:eastAsia="es-EC"/>
        </w:rPr>
      </w:pPr>
      <w:r w:rsidRPr="000A0A8E">
        <w:rPr>
          <w:lang w:val="es-PE" w:eastAsia="es-EC"/>
        </w:rPr>
        <w:t>Según los TDR, la evaluación final del PRODERN II debe, por un lado, conocer los avances físicos y financieros, y levantar un balance de la ejecución del Proyecto desde su inicio hasta el cierre, “en función de los indicadores descritos en el Marco Lógico del DTF del Proyecto”, y aplicando los criterios de pertinencia, eficiencia y eficacia. Tiene también el propósito de analizar la viabilidad del Proyecto y la sostenibilidad de las acciones, de tal manera que permita obtener recomendaciones y lecciones útiles para los socios con el fin de mejorar y replicar las acciones, así como la calidad de las mismas.</w:t>
      </w:r>
    </w:p>
    <w:p w14:paraId="2558FEEE" w14:textId="77777777" w:rsidR="000A0A8E" w:rsidRDefault="000A0A8E" w:rsidP="000A0A8E">
      <w:pPr>
        <w:rPr>
          <w:lang w:val="es-PE" w:eastAsia="es-EC"/>
        </w:rPr>
      </w:pPr>
      <w:r w:rsidRPr="000A0A8E">
        <w:rPr>
          <w:lang w:val="es-PE" w:eastAsia="es-EC"/>
        </w:rPr>
        <w:t xml:space="preserve">La </w:t>
      </w:r>
      <w:r w:rsidRPr="000A0A8E">
        <w:rPr>
          <w:i/>
          <w:lang w:val="es-PE" w:eastAsia="es-EC"/>
        </w:rPr>
        <w:t>metodología</w:t>
      </w:r>
      <w:r w:rsidRPr="000A0A8E">
        <w:rPr>
          <w:lang w:val="es-PE" w:eastAsia="es-EC"/>
        </w:rPr>
        <w:t xml:space="preserve"> propuesta se basa en la comprensión del modelo de intervención del proyecto, aplicando el enfoque de gestión por resultados. Este enfoque consiste en explicitar la cadena de resultados que está implícita en el marco lógico de planificación hasta lograr la comprensión del modelo de intervención, o teoría de cambio del proyecto, y entender su traducción en el sistema de objetivos y resultados del marco lógico. Esta etapa se hizo durante la fase de arranque y está expuesta en el informe correspondiente, al igual que el análisis de la evolución de los indicadores de productos y de resultados, sobre la marcha del Programa.</w:t>
      </w:r>
    </w:p>
    <w:p w14:paraId="09E9F949" w14:textId="77777777" w:rsidR="000A0A8E" w:rsidRDefault="000A0A8E" w:rsidP="000A0A8E">
      <w:pPr>
        <w:rPr>
          <w:lang w:val="es-PE" w:eastAsia="es-EC"/>
        </w:rPr>
      </w:pPr>
    </w:p>
    <w:p w14:paraId="700D29A0" w14:textId="77777777" w:rsidR="000A0A8E" w:rsidRPr="000A0A8E" w:rsidRDefault="000A0A8E" w:rsidP="000A0A8E">
      <w:pPr>
        <w:rPr>
          <w:lang w:val="es-PE" w:eastAsia="es-EC"/>
        </w:rPr>
      </w:pPr>
    </w:p>
    <w:p w14:paraId="3645CE33" w14:textId="77777777" w:rsidR="000A0A8E" w:rsidRPr="000A0A8E" w:rsidRDefault="000A0A8E" w:rsidP="000A0A8E">
      <w:pPr>
        <w:rPr>
          <w:i/>
          <w:color w:val="404040"/>
          <w:lang w:eastAsia="es-EC"/>
        </w:rPr>
      </w:pPr>
      <w:proofErr w:type="spellStart"/>
      <w:r w:rsidRPr="000A0A8E">
        <w:rPr>
          <w:i/>
          <w:color w:val="404040"/>
          <w:lang w:eastAsia="es-EC"/>
        </w:rPr>
        <w:t>Hallazgos</w:t>
      </w:r>
      <w:proofErr w:type="spellEnd"/>
      <w:r w:rsidRPr="000A0A8E">
        <w:rPr>
          <w:i/>
          <w:color w:val="404040"/>
          <w:lang w:eastAsia="es-EC"/>
        </w:rPr>
        <w:t xml:space="preserve"> de la </w:t>
      </w:r>
      <w:proofErr w:type="spellStart"/>
      <w:r w:rsidRPr="000A0A8E">
        <w:rPr>
          <w:i/>
          <w:color w:val="404040"/>
          <w:lang w:eastAsia="es-EC"/>
        </w:rPr>
        <w:t>evaluación</w:t>
      </w:r>
      <w:proofErr w:type="spellEnd"/>
    </w:p>
    <w:p w14:paraId="52A43D26" w14:textId="77777777" w:rsidR="000A0A8E" w:rsidRPr="000A0A8E" w:rsidRDefault="000A0A8E" w:rsidP="000A0A8E">
      <w:pPr>
        <w:rPr>
          <w:b/>
        </w:rPr>
      </w:pPr>
      <w:proofErr w:type="spellStart"/>
      <w:r w:rsidRPr="000A0A8E">
        <w:rPr>
          <w:b/>
        </w:rPr>
        <w:t>Valoración</w:t>
      </w:r>
      <w:proofErr w:type="spellEnd"/>
      <w:r w:rsidRPr="000A0A8E">
        <w:rPr>
          <w:b/>
        </w:rPr>
        <w:t xml:space="preserve"> global de los </w:t>
      </w:r>
      <w:proofErr w:type="spellStart"/>
      <w:r w:rsidRPr="000A0A8E">
        <w:rPr>
          <w:b/>
        </w:rPr>
        <w:t>criterios</w:t>
      </w:r>
      <w:proofErr w:type="spellEnd"/>
      <w:r w:rsidRPr="000A0A8E">
        <w:rPr>
          <w:b/>
        </w:rPr>
        <w:t xml:space="preserve"> CAD</w:t>
      </w:r>
    </w:p>
    <w:tbl>
      <w:tblPr>
        <w:tblW w:w="9187" w:type="dxa"/>
        <w:tblInd w:w="-294" w:type="dxa"/>
        <w:tblLayout w:type="fixed"/>
        <w:tblLook w:val="04A0" w:firstRow="1" w:lastRow="0" w:firstColumn="1" w:lastColumn="0" w:noHBand="0" w:noVBand="1"/>
      </w:tblPr>
      <w:tblGrid>
        <w:gridCol w:w="2552"/>
        <w:gridCol w:w="1658"/>
        <w:gridCol w:w="1659"/>
        <w:gridCol w:w="1659"/>
        <w:gridCol w:w="1659"/>
      </w:tblGrid>
      <w:tr w:rsidR="000A0A8E" w:rsidRPr="001B4955" w14:paraId="118508E3" w14:textId="77777777" w:rsidTr="00B87916">
        <w:trPr>
          <w:trHeight w:val="20"/>
        </w:trPr>
        <w:tc>
          <w:tcPr>
            <w:tcW w:w="2552" w:type="dxa"/>
            <w:vMerge w:val="restart"/>
            <w:tcBorders>
              <w:top w:val="single" w:sz="8" w:space="0" w:color="auto"/>
              <w:left w:val="single" w:sz="8" w:space="0" w:color="auto"/>
              <w:bottom w:val="single" w:sz="4" w:space="0" w:color="auto"/>
              <w:right w:val="single" w:sz="8" w:space="0" w:color="000000"/>
            </w:tcBorders>
            <w:shd w:val="clear" w:color="auto" w:fill="auto"/>
            <w:vAlign w:val="center"/>
          </w:tcPr>
          <w:p w14:paraId="5AB45644" w14:textId="77777777" w:rsidR="000A0A8E" w:rsidRPr="000A0A8E" w:rsidRDefault="000A0A8E" w:rsidP="00B87916">
            <w:pPr>
              <w:rPr>
                <w:rFonts w:cs="Arial"/>
                <w:b/>
                <w:sz w:val="20"/>
                <w:szCs w:val="20"/>
                <w:lang w:val="pt-PT"/>
              </w:rPr>
            </w:pPr>
            <w:r w:rsidRPr="000A0A8E">
              <w:rPr>
                <w:rFonts w:cs="Arial"/>
                <w:b/>
                <w:sz w:val="20"/>
                <w:szCs w:val="20"/>
                <w:lang w:val="pt-PT"/>
              </w:rPr>
              <w:t xml:space="preserve">PERTINENCIA : </w:t>
            </w:r>
          </w:p>
        </w:tc>
        <w:tc>
          <w:tcPr>
            <w:tcW w:w="1658" w:type="dxa"/>
            <w:tcBorders>
              <w:top w:val="single" w:sz="8" w:space="0" w:color="auto"/>
              <w:left w:val="single" w:sz="8" w:space="0" w:color="auto"/>
              <w:bottom w:val="single" w:sz="4" w:space="0" w:color="auto"/>
              <w:right w:val="single" w:sz="8" w:space="0" w:color="000000"/>
            </w:tcBorders>
            <w:shd w:val="clear" w:color="auto" w:fill="009900"/>
            <w:vAlign w:val="center"/>
          </w:tcPr>
          <w:p w14:paraId="535E45FF" w14:textId="77777777" w:rsidR="000A0A8E" w:rsidRPr="000A0A8E" w:rsidRDefault="000A0A8E" w:rsidP="00B87916">
            <w:pPr>
              <w:snapToGrid w:val="0"/>
              <w:jc w:val="center"/>
              <w:rPr>
                <w:rFonts w:cs="Arial"/>
                <w:b/>
                <w:sz w:val="20"/>
                <w:szCs w:val="20"/>
              </w:rPr>
            </w:pPr>
            <w:r w:rsidRPr="000A0A8E">
              <w:rPr>
                <w:rFonts w:cs="Arial"/>
                <w:b/>
                <w:sz w:val="20"/>
                <w:szCs w:val="20"/>
              </w:rPr>
              <w:t>A</w:t>
            </w:r>
          </w:p>
        </w:tc>
        <w:tc>
          <w:tcPr>
            <w:tcW w:w="1659" w:type="dxa"/>
            <w:tcBorders>
              <w:top w:val="single" w:sz="8" w:space="0" w:color="auto"/>
              <w:left w:val="single" w:sz="8" w:space="0" w:color="auto"/>
              <w:bottom w:val="single" w:sz="4" w:space="0" w:color="auto"/>
              <w:right w:val="single" w:sz="8" w:space="0" w:color="000000"/>
            </w:tcBorders>
            <w:shd w:val="clear" w:color="auto" w:fill="FFFF00"/>
            <w:vAlign w:val="center"/>
          </w:tcPr>
          <w:p w14:paraId="62B02991" w14:textId="77777777" w:rsidR="000A0A8E" w:rsidRPr="000A0A8E" w:rsidRDefault="000A0A8E" w:rsidP="00B87916">
            <w:pPr>
              <w:snapToGrid w:val="0"/>
              <w:jc w:val="center"/>
              <w:rPr>
                <w:rFonts w:cs="Arial"/>
                <w:b/>
                <w:bCs/>
                <w:kern w:val="2"/>
                <w:sz w:val="20"/>
                <w:szCs w:val="20"/>
              </w:rPr>
            </w:pPr>
            <w:r w:rsidRPr="000A0A8E">
              <w:rPr>
                <w:rFonts w:cs="Arial"/>
                <w:b/>
                <w:kern w:val="2"/>
                <w:sz w:val="20"/>
                <w:szCs w:val="20"/>
              </w:rPr>
              <w:t>B</w:t>
            </w:r>
          </w:p>
        </w:tc>
        <w:tc>
          <w:tcPr>
            <w:tcW w:w="1659" w:type="dxa"/>
            <w:tcBorders>
              <w:top w:val="single" w:sz="8" w:space="0" w:color="auto"/>
              <w:left w:val="single" w:sz="8" w:space="0" w:color="auto"/>
              <w:bottom w:val="single" w:sz="4" w:space="0" w:color="auto"/>
              <w:right w:val="single" w:sz="8" w:space="0" w:color="000000"/>
            </w:tcBorders>
            <w:shd w:val="clear" w:color="auto" w:fill="FFC000"/>
            <w:vAlign w:val="center"/>
          </w:tcPr>
          <w:p w14:paraId="1B378907" w14:textId="77777777" w:rsidR="000A0A8E" w:rsidRPr="000A0A8E" w:rsidRDefault="000A0A8E" w:rsidP="00B87916">
            <w:pPr>
              <w:snapToGrid w:val="0"/>
              <w:jc w:val="center"/>
              <w:rPr>
                <w:rFonts w:cs="Arial"/>
                <w:b/>
                <w:bCs/>
                <w:kern w:val="2"/>
                <w:sz w:val="20"/>
                <w:szCs w:val="20"/>
              </w:rPr>
            </w:pPr>
            <w:r w:rsidRPr="000A0A8E">
              <w:rPr>
                <w:rFonts w:cs="Arial"/>
                <w:b/>
                <w:kern w:val="2"/>
                <w:sz w:val="20"/>
                <w:szCs w:val="20"/>
              </w:rPr>
              <w:t>C</w:t>
            </w:r>
          </w:p>
        </w:tc>
        <w:tc>
          <w:tcPr>
            <w:tcW w:w="1659" w:type="dxa"/>
            <w:tcBorders>
              <w:top w:val="single" w:sz="8" w:space="0" w:color="auto"/>
              <w:left w:val="single" w:sz="8" w:space="0" w:color="auto"/>
              <w:bottom w:val="single" w:sz="4" w:space="0" w:color="auto"/>
              <w:right w:val="single" w:sz="8" w:space="0" w:color="000000"/>
            </w:tcBorders>
            <w:shd w:val="clear" w:color="auto" w:fill="FF0000"/>
            <w:vAlign w:val="center"/>
          </w:tcPr>
          <w:p w14:paraId="3C9093DB" w14:textId="77777777" w:rsidR="000A0A8E" w:rsidRPr="000A0A8E" w:rsidRDefault="000A0A8E" w:rsidP="00B87916">
            <w:pPr>
              <w:snapToGrid w:val="0"/>
              <w:jc w:val="center"/>
              <w:rPr>
                <w:rFonts w:cs="Arial"/>
                <w:b/>
                <w:bCs/>
                <w:kern w:val="2"/>
                <w:sz w:val="20"/>
                <w:szCs w:val="20"/>
              </w:rPr>
            </w:pPr>
            <w:r w:rsidRPr="000A0A8E">
              <w:rPr>
                <w:rFonts w:cs="Arial"/>
                <w:b/>
                <w:kern w:val="2"/>
                <w:sz w:val="20"/>
                <w:szCs w:val="20"/>
              </w:rPr>
              <w:t>D</w:t>
            </w:r>
          </w:p>
        </w:tc>
      </w:tr>
      <w:tr w:rsidR="000A0A8E" w:rsidRPr="001B4955" w14:paraId="48776097" w14:textId="77777777" w:rsidTr="00B87916">
        <w:trPr>
          <w:trHeight w:val="20"/>
        </w:trPr>
        <w:tc>
          <w:tcPr>
            <w:tcW w:w="2552" w:type="dxa"/>
            <w:vMerge/>
            <w:tcBorders>
              <w:left w:val="single" w:sz="8" w:space="0" w:color="auto"/>
              <w:bottom w:val="single" w:sz="4" w:space="0" w:color="auto"/>
              <w:right w:val="single" w:sz="8" w:space="0" w:color="000000"/>
            </w:tcBorders>
            <w:shd w:val="clear" w:color="auto" w:fill="auto"/>
            <w:vAlign w:val="center"/>
          </w:tcPr>
          <w:p w14:paraId="37B29527" w14:textId="77777777" w:rsidR="000A0A8E" w:rsidRPr="000A0A8E" w:rsidRDefault="000A0A8E" w:rsidP="00B87916">
            <w:pPr>
              <w:snapToGrid w:val="0"/>
              <w:rPr>
                <w:rFonts w:cs="Arial"/>
                <w:b/>
                <w:sz w:val="20"/>
                <w:szCs w:val="20"/>
              </w:rPr>
            </w:pPr>
          </w:p>
        </w:tc>
        <w:tc>
          <w:tcPr>
            <w:tcW w:w="1658" w:type="dxa"/>
            <w:tcBorders>
              <w:top w:val="single" w:sz="8" w:space="0" w:color="auto"/>
              <w:left w:val="single" w:sz="8" w:space="0" w:color="auto"/>
              <w:bottom w:val="single" w:sz="8" w:space="0" w:color="auto"/>
              <w:right w:val="single" w:sz="8" w:space="0" w:color="000000"/>
            </w:tcBorders>
            <w:vAlign w:val="center"/>
          </w:tcPr>
          <w:p w14:paraId="5910C4D8" w14:textId="77777777" w:rsidR="000A0A8E" w:rsidRPr="000A0A8E" w:rsidRDefault="000A0A8E" w:rsidP="00B87916">
            <w:pPr>
              <w:snapToGrid w:val="0"/>
              <w:jc w:val="center"/>
              <w:rPr>
                <w:rFonts w:cs="Arial"/>
                <w:b/>
                <w:sz w:val="20"/>
                <w:szCs w:val="20"/>
              </w:rPr>
            </w:pPr>
            <w:r w:rsidRPr="000A0A8E">
              <w:rPr>
                <w:rFonts w:cs="Arial"/>
                <w:b/>
                <w:sz w:val="20"/>
                <w:szCs w:val="20"/>
              </w:rPr>
              <w:t>X</w:t>
            </w:r>
          </w:p>
        </w:tc>
        <w:tc>
          <w:tcPr>
            <w:tcW w:w="1659" w:type="dxa"/>
            <w:tcBorders>
              <w:top w:val="single" w:sz="8" w:space="0" w:color="auto"/>
              <w:left w:val="single" w:sz="8" w:space="0" w:color="auto"/>
              <w:bottom w:val="single" w:sz="8" w:space="0" w:color="auto"/>
              <w:right w:val="single" w:sz="8" w:space="0" w:color="000000"/>
            </w:tcBorders>
            <w:vAlign w:val="center"/>
          </w:tcPr>
          <w:p w14:paraId="735C7DD7" w14:textId="77777777" w:rsidR="000A0A8E" w:rsidRPr="000A0A8E" w:rsidRDefault="000A0A8E" w:rsidP="00B87916">
            <w:pPr>
              <w:snapToGrid w:val="0"/>
              <w:jc w:val="center"/>
              <w:rPr>
                <w:rFonts w:cs="Arial"/>
                <w:sz w:val="20"/>
                <w:szCs w:val="20"/>
              </w:rPr>
            </w:pPr>
            <w:r w:rsidRPr="000A0A8E">
              <w:rPr>
                <w:rFonts w:cs="Arial"/>
                <w:sz w:val="20"/>
                <w:szCs w:val="20"/>
              </w:rPr>
              <w:t>X</w:t>
            </w:r>
          </w:p>
        </w:tc>
        <w:tc>
          <w:tcPr>
            <w:tcW w:w="1659" w:type="dxa"/>
            <w:tcBorders>
              <w:top w:val="single" w:sz="8" w:space="0" w:color="auto"/>
              <w:left w:val="single" w:sz="8" w:space="0" w:color="auto"/>
              <w:bottom w:val="single" w:sz="8" w:space="0" w:color="auto"/>
              <w:right w:val="single" w:sz="8" w:space="0" w:color="000000"/>
            </w:tcBorders>
            <w:vAlign w:val="center"/>
          </w:tcPr>
          <w:p w14:paraId="3E54861C" w14:textId="77777777" w:rsidR="000A0A8E" w:rsidRPr="000A0A8E" w:rsidRDefault="000A0A8E" w:rsidP="00B87916">
            <w:pPr>
              <w:snapToGrid w:val="0"/>
              <w:jc w:val="center"/>
              <w:rPr>
                <w:rFonts w:cs="Arial"/>
                <w:sz w:val="20"/>
                <w:szCs w:val="20"/>
              </w:rPr>
            </w:pPr>
          </w:p>
        </w:tc>
        <w:tc>
          <w:tcPr>
            <w:tcW w:w="1659" w:type="dxa"/>
            <w:tcBorders>
              <w:top w:val="single" w:sz="8" w:space="0" w:color="auto"/>
              <w:left w:val="single" w:sz="8" w:space="0" w:color="auto"/>
              <w:bottom w:val="single" w:sz="8" w:space="0" w:color="auto"/>
              <w:right w:val="single" w:sz="8" w:space="0" w:color="000000"/>
            </w:tcBorders>
            <w:vAlign w:val="center"/>
          </w:tcPr>
          <w:p w14:paraId="4BA9B451" w14:textId="77777777" w:rsidR="000A0A8E" w:rsidRPr="000A0A8E" w:rsidRDefault="000A0A8E" w:rsidP="00B87916">
            <w:pPr>
              <w:snapToGrid w:val="0"/>
              <w:jc w:val="center"/>
              <w:rPr>
                <w:rFonts w:cs="Arial"/>
                <w:sz w:val="20"/>
                <w:szCs w:val="20"/>
              </w:rPr>
            </w:pPr>
          </w:p>
        </w:tc>
      </w:tr>
      <w:tr w:rsidR="000A0A8E" w:rsidRPr="001B4955" w14:paraId="231C0680" w14:textId="77777777" w:rsidTr="00B87916">
        <w:trPr>
          <w:trHeight w:val="20"/>
        </w:trPr>
        <w:tc>
          <w:tcPr>
            <w:tcW w:w="2552" w:type="dxa"/>
            <w:vMerge w:val="restart"/>
            <w:tcBorders>
              <w:top w:val="single" w:sz="8" w:space="0" w:color="auto"/>
              <w:left w:val="single" w:sz="8" w:space="0" w:color="auto"/>
              <w:bottom w:val="single" w:sz="4" w:space="0" w:color="auto"/>
              <w:right w:val="single" w:sz="8" w:space="0" w:color="000000"/>
            </w:tcBorders>
            <w:shd w:val="clear" w:color="auto" w:fill="auto"/>
            <w:vAlign w:val="center"/>
          </w:tcPr>
          <w:p w14:paraId="26C1608A" w14:textId="77777777" w:rsidR="000A0A8E" w:rsidRPr="000A0A8E" w:rsidRDefault="000A0A8E" w:rsidP="00B87916">
            <w:pPr>
              <w:rPr>
                <w:rFonts w:cs="Arial"/>
                <w:b/>
                <w:bCs/>
                <w:kern w:val="2"/>
                <w:sz w:val="20"/>
                <w:szCs w:val="20"/>
              </w:rPr>
            </w:pPr>
            <w:r w:rsidRPr="000A0A8E">
              <w:rPr>
                <w:rFonts w:cs="Arial"/>
                <w:b/>
                <w:sz w:val="20"/>
                <w:szCs w:val="20"/>
              </w:rPr>
              <w:t>EFICIENCIA :</w:t>
            </w:r>
          </w:p>
        </w:tc>
        <w:tc>
          <w:tcPr>
            <w:tcW w:w="1658" w:type="dxa"/>
            <w:tcBorders>
              <w:top w:val="single" w:sz="8" w:space="0" w:color="auto"/>
              <w:left w:val="single" w:sz="8" w:space="0" w:color="auto"/>
              <w:bottom w:val="single" w:sz="4" w:space="0" w:color="auto"/>
              <w:right w:val="single" w:sz="8" w:space="0" w:color="000000"/>
            </w:tcBorders>
            <w:shd w:val="clear" w:color="auto" w:fill="009900"/>
            <w:vAlign w:val="center"/>
          </w:tcPr>
          <w:p w14:paraId="63A1663F" w14:textId="77777777" w:rsidR="000A0A8E" w:rsidRPr="000A0A8E" w:rsidRDefault="000A0A8E" w:rsidP="00B87916">
            <w:pPr>
              <w:snapToGrid w:val="0"/>
              <w:jc w:val="center"/>
              <w:rPr>
                <w:rFonts w:cs="Arial"/>
                <w:b/>
                <w:sz w:val="20"/>
                <w:szCs w:val="20"/>
              </w:rPr>
            </w:pPr>
            <w:r w:rsidRPr="000A0A8E">
              <w:rPr>
                <w:rFonts w:cs="Arial"/>
                <w:b/>
                <w:sz w:val="20"/>
                <w:szCs w:val="20"/>
              </w:rPr>
              <w:t>A</w:t>
            </w:r>
          </w:p>
        </w:tc>
        <w:tc>
          <w:tcPr>
            <w:tcW w:w="1659" w:type="dxa"/>
            <w:tcBorders>
              <w:top w:val="single" w:sz="8" w:space="0" w:color="auto"/>
              <w:left w:val="single" w:sz="8" w:space="0" w:color="auto"/>
              <w:bottom w:val="single" w:sz="4" w:space="0" w:color="auto"/>
              <w:right w:val="single" w:sz="8" w:space="0" w:color="000000"/>
            </w:tcBorders>
            <w:shd w:val="clear" w:color="auto" w:fill="FFFF00"/>
            <w:vAlign w:val="center"/>
          </w:tcPr>
          <w:p w14:paraId="41DC701B" w14:textId="77777777" w:rsidR="000A0A8E" w:rsidRPr="000A0A8E" w:rsidRDefault="000A0A8E" w:rsidP="00B87916">
            <w:pPr>
              <w:snapToGrid w:val="0"/>
              <w:jc w:val="center"/>
              <w:rPr>
                <w:rFonts w:cs="Arial"/>
                <w:b/>
                <w:bCs/>
                <w:kern w:val="2"/>
                <w:sz w:val="20"/>
                <w:szCs w:val="20"/>
              </w:rPr>
            </w:pPr>
            <w:r w:rsidRPr="000A0A8E">
              <w:rPr>
                <w:rFonts w:cs="Arial"/>
                <w:b/>
                <w:kern w:val="2"/>
                <w:sz w:val="20"/>
                <w:szCs w:val="20"/>
              </w:rPr>
              <w:t>B</w:t>
            </w:r>
          </w:p>
        </w:tc>
        <w:tc>
          <w:tcPr>
            <w:tcW w:w="1659" w:type="dxa"/>
            <w:tcBorders>
              <w:top w:val="single" w:sz="8" w:space="0" w:color="auto"/>
              <w:left w:val="single" w:sz="8" w:space="0" w:color="auto"/>
              <w:bottom w:val="single" w:sz="4" w:space="0" w:color="auto"/>
              <w:right w:val="single" w:sz="8" w:space="0" w:color="000000"/>
            </w:tcBorders>
            <w:shd w:val="clear" w:color="auto" w:fill="FFC000"/>
            <w:vAlign w:val="center"/>
          </w:tcPr>
          <w:p w14:paraId="40C580E5" w14:textId="77777777" w:rsidR="000A0A8E" w:rsidRPr="000A0A8E" w:rsidRDefault="000A0A8E" w:rsidP="00B87916">
            <w:pPr>
              <w:snapToGrid w:val="0"/>
              <w:jc w:val="center"/>
              <w:rPr>
                <w:rFonts w:cs="Arial"/>
                <w:b/>
                <w:bCs/>
                <w:kern w:val="2"/>
                <w:sz w:val="20"/>
                <w:szCs w:val="20"/>
              </w:rPr>
            </w:pPr>
            <w:r w:rsidRPr="000A0A8E">
              <w:rPr>
                <w:rFonts w:cs="Arial"/>
                <w:b/>
                <w:kern w:val="2"/>
                <w:sz w:val="20"/>
                <w:szCs w:val="20"/>
              </w:rPr>
              <w:t>C</w:t>
            </w:r>
          </w:p>
        </w:tc>
        <w:tc>
          <w:tcPr>
            <w:tcW w:w="1659" w:type="dxa"/>
            <w:tcBorders>
              <w:top w:val="single" w:sz="8" w:space="0" w:color="auto"/>
              <w:left w:val="single" w:sz="8" w:space="0" w:color="auto"/>
              <w:bottom w:val="single" w:sz="4" w:space="0" w:color="auto"/>
              <w:right w:val="single" w:sz="8" w:space="0" w:color="000000"/>
            </w:tcBorders>
            <w:shd w:val="clear" w:color="auto" w:fill="FF0000"/>
            <w:vAlign w:val="center"/>
          </w:tcPr>
          <w:p w14:paraId="73EE96CC" w14:textId="77777777" w:rsidR="000A0A8E" w:rsidRPr="000A0A8E" w:rsidRDefault="000A0A8E" w:rsidP="00B87916">
            <w:pPr>
              <w:snapToGrid w:val="0"/>
              <w:jc w:val="center"/>
              <w:rPr>
                <w:rFonts w:cs="Arial"/>
                <w:b/>
                <w:bCs/>
                <w:kern w:val="2"/>
                <w:sz w:val="20"/>
                <w:szCs w:val="20"/>
              </w:rPr>
            </w:pPr>
            <w:r w:rsidRPr="000A0A8E">
              <w:rPr>
                <w:rFonts w:cs="Arial"/>
                <w:b/>
                <w:kern w:val="2"/>
                <w:sz w:val="20"/>
                <w:szCs w:val="20"/>
              </w:rPr>
              <w:t>D</w:t>
            </w:r>
          </w:p>
        </w:tc>
      </w:tr>
      <w:tr w:rsidR="000A0A8E" w:rsidRPr="001B4955" w14:paraId="130C9597" w14:textId="77777777" w:rsidTr="00B87916">
        <w:trPr>
          <w:trHeight w:val="20"/>
        </w:trPr>
        <w:tc>
          <w:tcPr>
            <w:tcW w:w="2552" w:type="dxa"/>
            <w:vMerge/>
            <w:tcBorders>
              <w:left w:val="single" w:sz="8" w:space="0" w:color="auto"/>
              <w:bottom w:val="single" w:sz="4" w:space="0" w:color="auto"/>
              <w:right w:val="single" w:sz="8" w:space="0" w:color="000000"/>
            </w:tcBorders>
            <w:shd w:val="clear" w:color="auto" w:fill="auto"/>
            <w:vAlign w:val="center"/>
          </w:tcPr>
          <w:p w14:paraId="05320FAE" w14:textId="77777777" w:rsidR="000A0A8E" w:rsidRPr="000A0A8E" w:rsidRDefault="000A0A8E" w:rsidP="00B87916">
            <w:pPr>
              <w:rPr>
                <w:rFonts w:cs="Arial"/>
                <w:b/>
                <w:sz w:val="20"/>
                <w:szCs w:val="20"/>
              </w:rPr>
            </w:pPr>
          </w:p>
        </w:tc>
        <w:tc>
          <w:tcPr>
            <w:tcW w:w="1658" w:type="dxa"/>
            <w:tcBorders>
              <w:top w:val="single" w:sz="8" w:space="0" w:color="auto"/>
              <w:left w:val="single" w:sz="8" w:space="0" w:color="auto"/>
              <w:bottom w:val="single" w:sz="8" w:space="0" w:color="auto"/>
              <w:right w:val="single" w:sz="8" w:space="0" w:color="000000"/>
            </w:tcBorders>
            <w:vAlign w:val="center"/>
          </w:tcPr>
          <w:p w14:paraId="6C903C02" w14:textId="77777777" w:rsidR="000A0A8E" w:rsidRPr="000A0A8E" w:rsidRDefault="000A0A8E" w:rsidP="00B87916">
            <w:pPr>
              <w:snapToGrid w:val="0"/>
              <w:jc w:val="center"/>
              <w:rPr>
                <w:rFonts w:cs="Arial"/>
                <w:sz w:val="20"/>
                <w:szCs w:val="20"/>
              </w:rPr>
            </w:pPr>
          </w:p>
        </w:tc>
        <w:tc>
          <w:tcPr>
            <w:tcW w:w="1659" w:type="dxa"/>
            <w:tcBorders>
              <w:top w:val="single" w:sz="8" w:space="0" w:color="auto"/>
              <w:left w:val="single" w:sz="8" w:space="0" w:color="auto"/>
              <w:bottom w:val="single" w:sz="8" w:space="0" w:color="auto"/>
              <w:right w:val="single" w:sz="8" w:space="0" w:color="000000"/>
            </w:tcBorders>
            <w:vAlign w:val="center"/>
          </w:tcPr>
          <w:p w14:paraId="745B0299" w14:textId="77777777" w:rsidR="000A0A8E" w:rsidRPr="000A0A8E" w:rsidRDefault="000A0A8E" w:rsidP="00B87916">
            <w:pPr>
              <w:snapToGrid w:val="0"/>
              <w:jc w:val="center"/>
              <w:rPr>
                <w:rFonts w:cs="Arial"/>
                <w:b/>
                <w:sz w:val="20"/>
                <w:szCs w:val="20"/>
              </w:rPr>
            </w:pPr>
            <w:r w:rsidRPr="000A0A8E">
              <w:rPr>
                <w:rFonts w:cs="Arial"/>
                <w:b/>
                <w:sz w:val="20"/>
                <w:szCs w:val="20"/>
              </w:rPr>
              <w:t>X</w:t>
            </w:r>
          </w:p>
        </w:tc>
        <w:tc>
          <w:tcPr>
            <w:tcW w:w="1659" w:type="dxa"/>
            <w:tcBorders>
              <w:top w:val="single" w:sz="8" w:space="0" w:color="auto"/>
              <w:left w:val="single" w:sz="8" w:space="0" w:color="auto"/>
              <w:bottom w:val="single" w:sz="8" w:space="0" w:color="auto"/>
              <w:right w:val="single" w:sz="8" w:space="0" w:color="000000"/>
            </w:tcBorders>
            <w:vAlign w:val="center"/>
          </w:tcPr>
          <w:p w14:paraId="627F9ABF" w14:textId="77777777" w:rsidR="000A0A8E" w:rsidRPr="000A0A8E" w:rsidRDefault="000A0A8E" w:rsidP="00B87916">
            <w:pPr>
              <w:snapToGrid w:val="0"/>
              <w:jc w:val="center"/>
              <w:rPr>
                <w:rFonts w:cs="Arial"/>
                <w:b/>
                <w:sz w:val="20"/>
                <w:szCs w:val="20"/>
              </w:rPr>
            </w:pPr>
            <w:r w:rsidRPr="000A0A8E">
              <w:rPr>
                <w:rFonts w:cs="Arial"/>
                <w:b/>
                <w:sz w:val="20"/>
                <w:szCs w:val="20"/>
              </w:rPr>
              <w:t>X</w:t>
            </w:r>
          </w:p>
        </w:tc>
        <w:tc>
          <w:tcPr>
            <w:tcW w:w="1659" w:type="dxa"/>
            <w:tcBorders>
              <w:top w:val="single" w:sz="8" w:space="0" w:color="auto"/>
              <w:left w:val="single" w:sz="8" w:space="0" w:color="auto"/>
              <w:bottom w:val="single" w:sz="8" w:space="0" w:color="auto"/>
              <w:right w:val="single" w:sz="8" w:space="0" w:color="000000"/>
            </w:tcBorders>
            <w:vAlign w:val="center"/>
          </w:tcPr>
          <w:p w14:paraId="54607245" w14:textId="77777777" w:rsidR="000A0A8E" w:rsidRPr="000A0A8E" w:rsidRDefault="000A0A8E" w:rsidP="00B87916">
            <w:pPr>
              <w:snapToGrid w:val="0"/>
              <w:jc w:val="center"/>
              <w:rPr>
                <w:rFonts w:cs="Arial"/>
                <w:sz w:val="20"/>
                <w:szCs w:val="20"/>
              </w:rPr>
            </w:pPr>
          </w:p>
        </w:tc>
      </w:tr>
      <w:tr w:rsidR="000A0A8E" w:rsidRPr="001B4955" w14:paraId="7DB15E02" w14:textId="77777777" w:rsidTr="00B87916">
        <w:trPr>
          <w:trHeight w:val="20"/>
        </w:trPr>
        <w:tc>
          <w:tcPr>
            <w:tcW w:w="2552" w:type="dxa"/>
            <w:vMerge w:val="restart"/>
            <w:tcBorders>
              <w:top w:val="single" w:sz="8" w:space="0" w:color="auto"/>
              <w:left w:val="single" w:sz="8" w:space="0" w:color="auto"/>
              <w:bottom w:val="single" w:sz="4" w:space="0" w:color="auto"/>
              <w:right w:val="single" w:sz="8" w:space="0" w:color="000000"/>
            </w:tcBorders>
            <w:shd w:val="clear" w:color="auto" w:fill="auto"/>
            <w:vAlign w:val="center"/>
          </w:tcPr>
          <w:p w14:paraId="64D37122" w14:textId="77777777" w:rsidR="000A0A8E" w:rsidRPr="000A0A8E" w:rsidRDefault="000A0A8E" w:rsidP="00B87916">
            <w:pPr>
              <w:rPr>
                <w:rFonts w:cs="Arial"/>
                <w:b/>
                <w:bCs/>
                <w:kern w:val="2"/>
                <w:sz w:val="20"/>
                <w:szCs w:val="20"/>
              </w:rPr>
            </w:pPr>
            <w:r w:rsidRPr="000A0A8E">
              <w:rPr>
                <w:rFonts w:cs="Arial"/>
                <w:b/>
                <w:sz w:val="20"/>
                <w:szCs w:val="20"/>
              </w:rPr>
              <w:t xml:space="preserve">EFICACIA : </w:t>
            </w:r>
          </w:p>
        </w:tc>
        <w:tc>
          <w:tcPr>
            <w:tcW w:w="1658" w:type="dxa"/>
            <w:tcBorders>
              <w:top w:val="single" w:sz="8" w:space="0" w:color="auto"/>
              <w:left w:val="single" w:sz="8" w:space="0" w:color="auto"/>
              <w:bottom w:val="single" w:sz="4" w:space="0" w:color="auto"/>
              <w:right w:val="single" w:sz="8" w:space="0" w:color="000000"/>
            </w:tcBorders>
            <w:shd w:val="clear" w:color="auto" w:fill="009900"/>
            <w:vAlign w:val="center"/>
          </w:tcPr>
          <w:p w14:paraId="1EA816CC" w14:textId="77777777" w:rsidR="000A0A8E" w:rsidRPr="000A0A8E" w:rsidRDefault="000A0A8E" w:rsidP="00B87916">
            <w:pPr>
              <w:snapToGrid w:val="0"/>
              <w:jc w:val="center"/>
              <w:rPr>
                <w:rFonts w:cs="Arial"/>
                <w:b/>
                <w:sz w:val="20"/>
                <w:szCs w:val="20"/>
              </w:rPr>
            </w:pPr>
            <w:r w:rsidRPr="000A0A8E">
              <w:rPr>
                <w:rFonts w:cs="Arial"/>
                <w:b/>
                <w:sz w:val="20"/>
                <w:szCs w:val="20"/>
              </w:rPr>
              <w:t>A</w:t>
            </w:r>
          </w:p>
        </w:tc>
        <w:tc>
          <w:tcPr>
            <w:tcW w:w="1659" w:type="dxa"/>
            <w:tcBorders>
              <w:top w:val="single" w:sz="8" w:space="0" w:color="auto"/>
              <w:left w:val="single" w:sz="8" w:space="0" w:color="auto"/>
              <w:bottom w:val="single" w:sz="4" w:space="0" w:color="auto"/>
              <w:right w:val="single" w:sz="8" w:space="0" w:color="000000"/>
            </w:tcBorders>
            <w:shd w:val="clear" w:color="auto" w:fill="FFFF00"/>
            <w:vAlign w:val="center"/>
          </w:tcPr>
          <w:p w14:paraId="317F43BC" w14:textId="77777777" w:rsidR="000A0A8E" w:rsidRPr="000A0A8E" w:rsidRDefault="000A0A8E" w:rsidP="00B87916">
            <w:pPr>
              <w:snapToGrid w:val="0"/>
              <w:jc w:val="center"/>
              <w:rPr>
                <w:rFonts w:cs="Arial"/>
                <w:b/>
                <w:bCs/>
                <w:kern w:val="2"/>
                <w:sz w:val="20"/>
                <w:szCs w:val="20"/>
              </w:rPr>
            </w:pPr>
            <w:r w:rsidRPr="000A0A8E">
              <w:rPr>
                <w:rFonts w:cs="Arial"/>
                <w:b/>
                <w:kern w:val="2"/>
                <w:sz w:val="20"/>
                <w:szCs w:val="20"/>
              </w:rPr>
              <w:t>B</w:t>
            </w:r>
          </w:p>
        </w:tc>
        <w:tc>
          <w:tcPr>
            <w:tcW w:w="1659" w:type="dxa"/>
            <w:tcBorders>
              <w:top w:val="single" w:sz="8" w:space="0" w:color="auto"/>
              <w:left w:val="single" w:sz="8" w:space="0" w:color="auto"/>
              <w:bottom w:val="single" w:sz="4" w:space="0" w:color="auto"/>
              <w:right w:val="single" w:sz="8" w:space="0" w:color="000000"/>
            </w:tcBorders>
            <w:shd w:val="clear" w:color="auto" w:fill="FFC000"/>
            <w:vAlign w:val="center"/>
          </w:tcPr>
          <w:p w14:paraId="7A5662E7" w14:textId="77777777" w:rsidR="000A0A8E" w:rsidRPr="000A0A8E" w:rsidRDefault="000A0A8E" w:rsidP="00B87916">
            <w:pPr>
              <w:snapToGrid w:val="0"/>
              <w:jc w:val="center"/>
              <w:rPr>
                <w:rFonts w:cs="Arial"/>
                <w:b/>
                <w:bCs/>
                <w:kern w:val="2"/>
                <w:sz w:val="20"/>
                <w:szCs w:val="20"/>
              </w:rPr>
            </w:pPr>
            <w:r w:rsidRPr="000A0A8E">
              <w:rPr>
                <w:rFonts w:cs="Arial"/>
                <w:b/>
                <w:kern w:val="2"/>
                <w:sz w:val="20"/>
                <w:szCs w:val="20"/>
              </w:rPr>
              <w:t>C</w:t>
            </w:r>
          </w:p>
        </w:tc>
        <w:tc>
          <w:tcPr>
            <w:tcW w:w="1659" w:type="dxa"/>
            <w:tcBorders>
              <w:top w:val="single" w:sz="8" w:space="0" w:color="auto"/>
              <w:left w:val="single" w:sz="8" w:space="0" w:color="auto"/>
              <w:bottom w:val="single" w:sz="4" w:space="0" w:color="auto"/>
              <w:right w:val="single" w:sz="8" w:space="0" w:color="000000"/>
            </w:tcBorders>
            <w:shd w:val="clear" w:color="auto" w:fill="FF0000"/>
            <w:vAlign w:val="center"/>
          </w:tcPr>
          <w:p w14:paraId="5F1D2F6D" w14:textId="77777777" w:rsidR="000A0A8E" w:rsidRPr="000A0A8E" w:rsidRDefault="000A0A8E" w:rsidP="00B87916">
            <w:pPr>
              <w:snapToGrid w:val="0"/>
              <w:jc w:val="center"/>
              <w:rPr>
                <w:rFonts w:cs="Arial"/>
                <w:b/>
                <w:bCs/>
                <w:kern w:val="2"/>
                <w:sz w:val="20"/>
                <w:szCs w:val="20"/>
              </w:rPr>
            </w:pPr>
            <w:r w:rsidRPr="000A0A8E">
              <w:rPr>
                <w:rFonts w:cs="Arial"/>
                <w:b/>
                <w:kern w:val="2"/>
                <w:sz w:val="20"/>
                <w:szCs w:val="20"/>
              </w:rPr>
              <w:t>D</w:t>
            </w:r>
          </w:p>
        </w:tc>
      </w:tr>
      <w:tr w:rsidR="000A0A8E" w:rsidRPr="001B4955" w14:paraId="37636CC3" w14:textId="77777777" w:rsidTr="00B87916">
        <w:trPr>
          <w:trHeight w:val="20"/>
        </w:trPr>
        <w:tc>
          <w:tcPr>
            <w:tcW w:w="2552" w:type="dxa"/>
            <w:vMerge/>
            <w:tcBorders>
              <w:left w:val="single" w:sz="8" w:space="0" w:color="auto"/>
              <w:bottom w:val="single" w:sz="4" w:space="0" w:color="auto"/>
              <w:right w:val="single" w:sz="8" w:space="0" w:color="000000"/>
            </w:tcBorders>
            <w:shd w:val="clear" w:color="auto" w:fill="auto"/>
            <w:vAlign w:val="center"/>
          </w:tcPr>
          <w:p w14:paraId="187064C5" w14:textId="77777777" w:rsidR="000A0A8E" w:rsidRPr="000A0A8E" w:rsidRDefault="000A0A8E" w:rsidP="00B87916">
            <w:pPr>
              <w:rPr>
                <w:rFonts w:cs="Arial"/>
                <w:b/>
                <w:sz w:val="20"/>
                <w:szCs w:val="20"/>
              </w:rPr>
            </w:pPr>
          </w:p>
        </w:tc>
        <w:tc>
          <w:tcPr>
            <w:tcW w:w="1658" w:type="dxa"/>
            <w:tcBorders>
              <w:top w:val="single" w:sz="8" w:space="0" w:color="auto"/>
              <w:left w:val="single" w:sz="8" w:space="0" w:color="auto"/>
              <w:bottom w:val="single" w:sz="8" w:space="0" w:color="auto"/>
              <w:right w:val="single" w:sz="8" w:space="0" w:color="000000"/>
            </w:tcBorders>
            <w:vAlign w:val="center"/>
          </w:tcPr>
          <w:p w14:paraId="2AD69EBA" w14:textId="77777777" w:rsidR="000A0A8E" w:rsidRPr="000A0A8E" w:rsidRDefault="000A0A8E" w:rsidP="00B87916">
            <w:pPr>
              <w:snapToGrid w:val="0"/>
              <w:jc w:val="center"/>
              <w:rPr>
                <w:rFonts w:cs="Arial"/>
                <w:sz w:val="20"/>
                <w:szCs w:val="20"/>
              </w:rPr>
            </w:pPr>
          </w:p>
        </w:tc>
        <w:tc>
          <w:tcPr>
            <w:tcW w:w="1659" w:type="dxa"/>
            <w:tcBorders>
              <w:top w:val="single" w:sz="8" w:space="0" w:color="auto"/>
              <w:left w:val="single" w:sz="8" w:space="0" w:color="auto"/>
              <w:bottom w:val="single" w:sz="8" w:space="0" w:color="auto"/>
              <w:right w:val="single" w:sz="8" w:space="0" w:color="000000"/>
            </w:tcBorders>
            <w:vAlign w:val="center"/>
          </w:tcPr>
          <w:p w14:paraId="06941227" w14:textId="77777777" w:rsidR="000A0A8E" w:rsidRPr="000A0A8E" w:rsidRDefault="000A0A8E" w:rsidP="00B87916">
            <w:pPr>
              <w:snapToGrid w:val="0"/>
              <w:jc w:val="center"/>
              <w:rPr>
                <w:rFonts w:cs="Arial"/>
                <w:b/>
                <w:sz w:val="20"/>
                <w:szCs w:val="20"/>
              </w:rPr>
            </w:pPr>
            <w:r w:rsidRPr="000A0A8E">
              <w:rPr>
                <w:rFonts w:cs="Arial"/>
                <w:b/>
                <w:sz w:val="20"/>
                <w:szCs w:val="20"/>
              </w:rPr>
              <w:t>X</w:t>
            </w:r>
          </w:p>
        </w:tc>
        <w:tc>
          <w:tcPr>
            <w:tcW w:w="1659" w:type="dxa"/>
            <w:tcBorders>
              <w:top w:val="single" w:sz="8" w:space="0" w:color="auto"/>
              <w:left w:val="single" w:sz="8" w:space="0" w:color="auto"/>
              <w:bottom w:val="single" w:sz="8" w:space="0" w:color="auto"/>
              <w:right w:val="single" w:sz="8" w:space="0" w:color="000000"/>
            </w:tcBorders>
            <w:vAlign w:val="center"/>
          </w:tcPr>
          <w:p w14:paraId="798907B4" w14:textId="77777777" w:rsidR="000A0A8E" w:rsidRPr="000A0A8E" w:rsidRDefault="000A0A8E" w:rsidP="00B87916">
            <w:pPr>
              <w:snapToGrid w:val="0"/>
              <w:jc w:val="center"/>
              <w:rPr>
                <w:rFonts w:cs="Arial"/>
                <w:b/>
                <w:sz w:val="20"/>
                <w:szCs w:val="20"/>
              </w:rPr>
            </w:pPr>
          </w:p>
        </w:tc>
        <w:tc>
          <w:tcPr>
            <w:tcW w:w="1659" w:type="dxa"/>
            <w:tcBorders>
              <w:top w:val="single" w:sz="8" w:space="0" w:color="auto"/>
              <w:left w:val="single" w:sz="8" w:space="0" w:color="auto"/>
              <w:bottom w:val="single" w:sz="8" w:space="0" w:color="auto"/>
              <w:right w:val="single" w:sz="8" w:space="0" w:color="000000"/>
            </w:tcBorders>
            <w:vAlign w:val="center"/>
          </w:tcPr>
          <w:p w14:paraId="18F984AC" w14:textId="77777777" w:rsidR="000A0A8E" w:rsidRPr="000A0A8E" w:rsidRDefault="000A0A8E" w:rsidP="00B87916">
            <w:pPr>
              <w:snapToGrid w:val="0"/>
              <w:jc w:val="center"/>
              <w:rPr>
                <w:rFonts w:cs="Arial"/>
                <w:sz w:val="20"/>
                <w:szCs w:val="20"/>
              </w:rPr>
            </w:pPr>
          </w:p>
        </w:tc>
      </w:tr>
      <w:tr w:rsidR="000A0A8E" w:rsidRPr="001B4955" w14:paraId="58AEF300" w14:textId="77777777" w:rsidTr="00B87916">
        <w:trPr>
          <w:trHeight w:val="20"/>
        </w:trPr>
        <w:tc>
          <w:tcPr>
            <w:tcW w:w="2552" w:type="dxa"/>
            <w:vMerge w:val="restart"/>
            <w:tcBorders>
              <w:top w:val="single" w:sz="8" w:space="0" w:color="auto"/>
              <w:left w:val="single" w:sz="8" w:space="0" w:color="auto"/>
              <w:bottom w:val="single" w:sz="4" w:space="0" w:color="auto"/>
              <w:right w:val="single" w:sz="8" w:space="0" w:color="000000"/>
            </w:tcBorders>
            <w:shd w:val="clear" w:color="auto" w:fill="auto"/>
            <w:vAlign w:val="center"/>
          </w:tcPr>
          <w:p w14:paraId="7C504A1B" w14:textId="77777777" w:rsidR="000A0A8E" w:rsidRPr="000A0A8E" w:rsidRDefault="000A0A8E" w:rsidP="00B87916">
            <w:pPr>
              <w:rPr>
                <w:rFonts w:cs="Arial"/>
                <w:b/>
                <w:sz w:val="20"/>
                <w:szCs w:val="20"/>
              </w:rPr>
            </w:pPr>
            <w:r w:rsidRPr="000A0A8E">
              <w:rPr>
                <w:rFonts w:cs="Arial"/>
                <w:b/>
                <w:sz w:val="20"/>
                <w:szCs w:val="20"/>
              </w:rPr>
              <w:t>IMPACTO :</w:t>
            </w:r>
          </w:p>
        </w:tc>
        <w:tc>
          <w:tcPr>
            <w:tcW w:w="1658" w:type="dxa"/>
            <w:tcBorders>
              <w:top w:val="single" w:sz="8" w:space="0" w:color="auto"/>
              <w:left w:val="single" w:sz="8" w:space="0" w:color="auto"/>
              <w:bottom w:val="single" w:sz="4" w:space="0" w:color="auto"/>
              <w:right w:val="single" w:sz="8" w:space="0" w:color="000000"/>
            </w:tcBorders>
            <w:shd w:val="clear" w:color="auto" w:fill="009900"/>
            <w:vAlign w:val="center"/>
          </w:tcPr>
          <w:p w14:paraId="2F37E2C6" w14:textId="77777777" w:rsidR="000A0A8E" w:rsidRPr="000A0A8E" w:rsidRDefault="000A0A8E" w:rsidP="00B87916">
            <w:pPr>
              <w:snapToGrid w:val="0"/>
              <w:jc w:val="center"/>
              <w:rPr>
                <w:rFonts w:cs="Arial"/>
                <w:b/>
                <w:sz w:val="20"/>
                <w:szCs w:val="20"/>
              </w:rPr>
            </w:pPr>
            <w:r w:rsidRPr="000A0A8E">
              <w:rPr>
                <w:rFonts w:cs="Arial"/>
                <w:b/>
                <w:sz w:val="20"/>
                <w:szCs w:val="20"/>
              </w:rPr>
              <w:t>A</w:t>
            </w:r>
          </w:p>
        </w:tc>
        <w:tc>
          <w:tcPr>
            <w:tcW w:w="1659" w:type="dxa"/>
            <w:tcBorders>
              <w:top w:val="single" w:sz="8" w:space="0" w:color="auto"/>
              <w:left w:val="single" w:sz="8" w:space="0" w:color="auto"/>
              <w:bottom w:val="single" w:sz="4" w:space="0" w:color="auto"/>
              <w:right w:val="single" w:sz="8" w:space="0" w:color="000000"/>
            </w:tcBorders>
            <w:shd w:val="clear" w:color="auto" w:fill="FFFF00"/>
            <w:vAlign w:val="center"/>
          </w:tcPr>
          <w:p w14:paraId="0E038E3D" w14:textId="77777777" w:rsidR="000A0A8E" w:rsidRPr="000A0A8E" w:rsidRDefault="000A0A8E" w:rsidP="00B87916">
            <w:pPr>
              <w:snapToGrid w:val="0"/>
              <w:jc w:val="center"/>
              <w:rPr>
                <w:rFonts w:cs="Arial"/>
                <w:b/>
                <w:bCs/>
                <w:kern w:val="2"/>
                <w:sz w:val="20"/>
                <w:szCs w:val="20"/>
              </w:rPr>
            </w:pPr>
            <w:r w:rsidRPr="000A0A8E">
              <w:rPr>
                <w:rFonts w:cs="Arial"/>
                <w:b/>
                <w:kern w:val="2"/>
                <w:sz w:val="20"/>
                <w:szCs w:val="20"/>
              </w:rPr>
              <w:t>B</w:t>
            </w:r>
          </w:p>
        </w:tc>
        <w:tc>
          <w:tcPr>
            <w:tcW w:w="1659" w:type="dxa"/>
            <w:tcBorders>
              <w:top w:val="single" w:sz="8" w:space="0" w:color="auto"/>
              <w:left w:val="single" w:sz="8" w:space="0" w:color="auto"/>
              <w:bottom w:val="single" w:sz="4" w:space="0" w:color="auto"/>
              <w:right w:val="single" w:sz="8" w:space="0" w:color="000000"/>
            </w:tcBorders>
            <w:shd w:val="clear" w:color="auto" w:fill="FFC000"/>
            <w:vAlign w:val="center"/>
          </w:tcPr>
          <w:p w14:paraId="39747880" w14:textId="77777777" w:rsidR="000A0A8E" w:rsidRPr="000A0A8E" w:rsidRDefault="000A0A8E" w:rsidP="00B87916">
            <w:pPr>
              <w:snapToGrid w:val="0"/>
              <w:jc w:val="center"/>
              <w:rPr>
                <w:rFonts w:cs="Arial"/>
                <w:b/>
                <w:bCs/>
                <w:kern w:val="2"/>
                <w:sz w:val="20"/>
                <w:szCs w:val="20"/>
              </w:rPr>
            </w:pPr>
            <w:r w:rsidRPr="000A0A8E">
              <w:rPr>
                <w:rFonts w:cs="Arial"/>
                <w:b/>
                <w:kern w:val="2"/>
                <w:sz w:val="20"/>
                <w:szCs w:val="20"/>
              </w:rPr>
              <w:t>C</w:t>
            </w:r>
          </w:p>
        </w:tc>
        <w:tc>
          <w:tcPr>
            <w:tcW w:w="1659" w:type="dxa"/>
            <w:tcBorders>
              <w:top w:val="single" w:sz="8" w:space="0" w:color="auto"/>
              <w:left w:val="single" w:sz="8" w:space="0" w:color="auto"/>
              <w:bottom w:val="single" w:sz="4" w:space="0" w:color="auto"/>
              <w:right w:val="single" w:sz="8" w:space="0" w:color="000000"/>
            </w:tcBorders>
            <w:shd w:val="clear" w:color="auto" w:fill="FF0000"/>
            <w:vAlign w:val="center"/>
          </w:tcPr>
          <w:p w14:paraId="443FA522" w14:textId="77777777" w:rsidR="000A0A8E" w:rsidRPr="000A0A8E" w:rsidRDefault="000A0A8E" w:rsidP="00B87916">
            <w:pPr>
              <w:snapToGrid w:val="0"/>
              <w:jc w:val="center"/>
              <w:rPr>
                <w:rFonts w:cs="Arial"/>
                <w:b/>
                <w:bCs/>
                <w:kern w:val="2"/>
                <w:sz w:val="20"/>
                <w:szCs w:val="20"/>
              </w:rPr>
            </w:pPr>
            <w:r w:rsidRPr="000A0A8E">
              <w:rPr>
                <w:rFonts w:cs="Arial"/>
                <w:b/>
                <w:kern w:val="2"/>
                <w:sz w:val="20"/>
                <w:szCs w:val="20"/>
              </w:rPr>
              <w:t>D</w:t>
            </w:r>
          </w:p>
        </w:tc>
      </w:tr>
      <w:tr w:rsidR="000A0A8E" w:rsidRPr="001B4955" w14:paraId="6257B275" w14:textId="77777777" w:rsidTr="00B87916">
        <w:trPr>
          <w:trHeight w:val="20"/>
        </w:trPr>
        <w:tc>
          <w:tcPr>
            <w:tcW w:w="2552" w:type="dxa"/>
            <w:vMerge/>
            <w:tcBorders>
              <w:left w:val="single" w:sz="8" w:space="0" w:color="auto"/>
              <w:bottom w:val="single" w:sz="4" w:space="0" w:color="auto"/>
              <w:right w:val="single" w:sz="8" w:space="0" w:color="000000"/>
            </w:tcBorders>
            <w:shd w:val="clear" w:color="auto" w:fill="auto"/>
            <w:vAlign w:val="center"/>
          </w:tcPr>
          <w:p w14:paraId="4AAD252F" w14:textId="77777777" w:rsidR="000A0A8E" w:rsidRPr="000A0A8E" w:rsidRDefault="000A0A8E" w:rsidP="00B87916">
            <w:pPr>
              <w:rPr>
                <w:rFonts w:cs="Arial"/>
                <w:b/>
                <w:sz w:val="20"/>
                <w:szCs w:val="20"/>
              </w:rPr>
            </w:pPr>
          </w:p>
        </w:tc>
        <w:tc>
          <w:tcPr>
            <w:tcW w:w="1658" w:type="dxa"/>
            <w:tcBorders>
              <w:top w:val="single" w:sz="8" w:space="0" w:color="auto"/>
              <w:left w:val="single" w:sz="8" w:space="0" w:color="auto"/>
              <w:bottom w:val="single" w:sz="8" w:space="0" w:color="auto"/>
              <w:right w:val="single" w:sz="8" w:space="0" w:color="000000"/>
            </w:tcBorders>
            <w:vAlign w:val="center"/>
          </w:tcPr>
          <w:p w14:paraId="6F786246" w14:textId="77777777" w:rsidR="000A0A8E" w:rsidRPr="000A0A8E" w:rsidRDefault="000A0A8E" w:rsidP="00B87916">
            <w:pPr>
              <w:snapToGrid w:val="0"/>
              <w:jc w:val="center"/>
              <w:rPr>
                <w:rFonts w:cs="Arial"/>
                <w:sz w:val="20"/>
                <w:szCs w:val="20"/>
              </w:rPr>
            </w:pPr>
          </w:p>
        </w:tc>
        <w:tc>
          <w:tcPr>
            <w:tcW w:w="1659" w:type="dxa"/>
            <w:tcBorders>
              <w:top w:val="single" w:sz="8" w:space="0" w:color="auto"/>
              <w:left w:val="single" w:sz="8" w:space="0" w:color="auto"/>
              <w:bottom w:val="single" w:sz="8" w:space="0" w:color="auto"/>
              <w:right w:val="single" w:sz="8" w:space="0" w:color="000000"/>
            </w:tcBorders>
            <w:vAlign w:val="center"/>
          </w:tcPr>
          <w:p w14:paraId="785F0E56" w14:textId="77777777" w:rsidR="000A0A8E" w:rsidRPr="000A0A8E" w:rsidRDefault="000A0A8E" w:rsidP="00B87916">
            <w:pPr>
              <w:snapToGrid w:val="0"/>
              <w:jc w:val="center"/>
              <w:rPr>
                <w:rFonts w:cs="Arial"/>
                <w:b/>
                <w:sz w:val="20"/>
                <w:szCs w:val="20"/>
              </w:rPr>
            </w:pPr>
            <w:r w:rsidRPr="000A0A8E">
              <w:rPr>
                <w:rFonts w:cs="Arial"/>
                <w:b/>
                <w:sz w:val="20"/>
                <w:szCs w:val="20"/>
              </w:rPr>
              <w:t>X</w:t>
            </w:r>
          </w:p>
        </w:tc>
        <w:tc>
          <w:tcPr>
            <w:tcW w:w="1659" w:type="dxa"/>
            <w:tcBorders>
              <w:top w:val="single" w:sz="8" w:space="0" w:color="auto"/>
              <w:left w:val="single" w:sz="8" w:space="0" w:color="auto"/>
              <w:bottom w:val="single" w:sz="8" w:space="0" w:color="auto"/>
              <w:right w:val="single" w:sz="8" w:space="0" w:color="000000"/>
            </w:tcBorders>
            <w:vAlign w:val="center"/>
          </w:tcPr>
          <w:p w14:paraId="71B603A2" w14:textId="77777777" w:rsidR="000A0A8E" w:rsidRPr="000A0A8E" w:rsidRDefault="000A0A8E" w:rsidP="00B87916">
            <w:pPr>
              <w:snapToGrid w:val="0"/>
              <w:jc w:val="center"/>
              <w:rPr>
                <w:rFonts w:cs="Arial"/>
                <w:b/>
                <w:sz w:val="20"/>
                <w:szCs w:val="20"/>
              </w:rPr>
            </w:pPr>
          </w:p>
        </w:tc>
        <w:tc>
          <w:tcPr>
            <w:tcW w:w="1659" w:type="dxa"/>
            <w:tcBorders>
              <w:top w:val="single" w:sz="8" w:space="0" w:color="auto"/>
              <w:left w:val="single" w:sz="8" w:space="0" w:color="auto"/>
              <w:bottom w:val="single" w:sz="8" w:space="0" w:color="auto"/>
              <w:right w:val="single" w:sz="8" w:space="0" w:color="000000"/>
            </w:tcBorders>
            <w:vAlign w:val="center"/>
          </w:tcPr>
          <w:p w14:paraId="6EB64A92" w14:textId="77777777" w:rsidR="000A0A8E" w:rsidRPr="000A0A8E" w:rsidRDefault="000A0A8E" w:rsidP="00B87916">
            <w:pPr>
              <w:snapToGrid w:val="0"/>
              <w:jc w:val="center"/>
              <w:rPr>
                <w:rFonts w:cs="Arial"/>
                <w:sz w:val="20"/>
                <w:szCs w:val="20"/>
              </w:rPr>
            </w:pPr>
          </w:p>
        </w:tc>
      </w:tr>
      <w:tr w:rsidR="000A0A8E" w:rsidRPr="001B4955" w14:paraId="027B999D" w14:textId="77777777" w:rsidTr="00B87916">
        <w:trPr>
          <w:trHeight w:val="20"/>
        </w:trPr>
        <w:tc>
          <w:tcPr>
            <w:tcW w:w="2552" w:type="dxa"/>
            <w:vMerge w:val="restart"/>
            <w:tcBorders>
              <w:top w:val="single" w:sz="8" w:space="0" w:color="auto"/>
              <w:left w:val="single" w:sz="8" w:space="0" w:color="auto"/>
              <w:bottom w:val="single" w:sz="4" w:space="0" w:color="auto"/>
              <w:right w:val="single" w:sz="8" w:space="0" w:color="000000"/>
            </w:tcBorders>
            <w:shd w:val="clear" w:color="auto" w:fill="auto"/>
            <w:vAlign w:val="center"/>
          </w:tcPr>
          <w:p w14:paraId="5966103D" w14:textId="77777777" w:rsidR="000A0A8E" w:rsidRPr="000A0A8E" w:rsidRDefault="000A0A8E" w:rsidP="00B87916">
            <w:pPr>
              <w:rPr>
                <w:rFonts w:cs="Arial"/>
                <w:b/>
                <w:sz w:val="20"/>
                <w:szCs w:val="20"/>
              </w:rPr>
            </w:pPr>
            <w:r w:rsidRPr="000A0A8E">
              <w:rPr>
                <w:rFonts w:cs="Arial"/>
                <w:b/>
                <w:sz w:val="20"/>
                <w:szCs w:val="20"/>
              </w:rPr>
              <w:t>SOSTENIBILIDAD :</w:t>
            </w:r>
          </w:p>
        </w:tc>
        <w:tc>
          <w:tcPr>
            <w:tcW w:w="1658" w:type="dxa"/>
            <w:tcBorders>
              <w:top w:val="single" w:sz="8" w:space="0" w:color="auto"/>
              <w:left w:val="single" w:sz="8" w:space="0" w:color="auto"/>
              <w:bottom w:val="single" w:sz="4" w:space="0" w:color="auto"/>
              <w:right w:val="single" w:sz="8" w:space="0" w:color="000000"/>
            </w:tcBorders>
            <w:shd w:val="clear" w:color="auto" w:fill="009900"/>
            <w:vAlign w:val="center"/>
          </w:tcPr>
          <w:p w14:paraId="3B89D6EB" w14:textId="77777777" w:rsidR="000A0A8E" w:rsidRPr="000A0A8E" w:rsidRDefault="000A0A8E" w:rsidP="00B87916">
            <w:pPr>
              <w:snapToGrid w:val="0"/>
              <w:jc w:val="center"/>
              <w:rPr>
                <w:rFonts w:cs="Arial"/>
                <w:b/>
                <w:sz w:val="20"/>
                <w:szCs w:val="20"/>
              </w:rPr>
            </w:pPr>
            <w:r w:rsidRPr="000A0A8E">
              <w:rPr>
                <w:rFonts w:cs="Arial"/>
                <w:b/>
                <w:sz w:val="20"/>
                <w:szCs w:val="20"/>
              </w:rPr>
              <w:t>A</w:t>
            </w:r>
          </w:p>
        </w:tc>
        <w:tc>
          <w:tcPr>
            <w:tcW w:w="1659" w:type="dxa"/>
            <w:tcBorders>
              <w:top w:val="single" w:sz="8" w:space="0" w:color="auto"/>
              <w:left w:val="single" w:sz="8" w:space="0" w:color="auto"/>
              <w:bottom w:val="single" w:sz="4" w:space="0" w:color="auto"/>
              <w:right w:val="single" w:sz="8" w:space="0" w:color="000000"/>
            </w:tcBorders>
            <w:shd w:val="clear" w:color="auto" w:fill="FFFF00"/>
            <w:vAlign w:val="center"/>
          </w:tcPr>
          <w:p w14:paraId="3206B849" w14:textId="77777777" w:rsidR="000A0A8E" w:rsidRPr="000A0A8E" w:rsidRDefault="000A0A8E" w:rsidP="00B87916">
            <w:pPr>
              <w:snapToGrid w:val="0"/>
              <w:jc w:val="center"/>
              <w:rPr>
                <w:rFonts w:cs="Arial"/>
                <w:b/>
                <w:bCs/>
                <w:kern w:val="2"/>
                <w:sz w:val="20"/>
                <w:szCs w:val="20"/>
              </w:rPr>
            </w:pPr>
            <w:r w:rsidRPr="000A0A8E">
              <w:rPr>
                <w:rFonts w:cs="Arial"/>
                <w:b/>
                <w:kern w:val="2"/>
                <w:sz w:val="20"/>
                <w:szCs w:val="20"/>
              </w:rPr>
              <w:t>B</w:t>
            </w:r>
          </w:p>
        </w:tc>
        <w:tc>
          <w:tcPr>
            <w:tcW w:w="1659" w:type="dxa"/>
            <w:tcBorders>
              <w:top w:val="single" w:sz="8" w:space="0" w:color="auto"/>
              <w:left w:val="single" w:sz="8" w:space="0" w:color="auto"/>
              <w:bottom w:val="single" w:sz="4" w:space="0" w:color="auto"/>
              <w:right w:val="single" w:sz="8" w:space="0" w:color="000000"/>
            </w:tcBorders>
            <w:shd w:val="clear" w:color="auto" w:fill="FFC000"/>
            <w:vAlign w:val="center"/>
          </w:tcPr>
          <w:p w14:paraId="46D883DD" w14:textId="77777777" w:rsidR="000A0A8E" w:rsidRPr="000A0A8E" w:rsidRDefault="000A0A8E" w:rsidP="00B87916">
            <w:pPr>
              <w:snapToGrid w:val="0"/>
              <w:jc w:val="center"/>
              <w:rPr>
                <w:rFonts w:cs="Arial"/>
                <w:b/>
                <w:bCs/>
                <w:kern w:val="2"/>
                <w:sz w:val="20"/>
                <w:szCs w:val="20"/>
              </w:rPr>
            </w:pPr>
            <w:r w:rsidRPr="000A0A8E">
              <w:rPr>
                <w:rFonts w:cs="Arial"/>
                <w:b/>
                <w:kern w:val="2"/>
                <w:sz w:val="20"/>
                <w:szCs w:val="20"/>
              </w:rPr>
              <w:t>C</w:t>
            </w:r>
          </w:p>
        </w:tc>
        <w:tc>
          <w:tcPr>
            <w:tcW w:w="1659" w:type="dxa"/>
            <w:tcBorders>
              <w:top w:val="single" w:sz="8" w:space="0" w:color="auto"/>
              <w:left w:val="single" w:sz="8" w:space="0" w:color="auto"/>
              <w:bottom w:val="single" w:sz="4" w:space="0" w:color="auto"/>
              <w:right w:val="single" w:sz="8" w:space="0" w:color="000000"/>
            </w:tcBorders>
            <w:shd w:val="clear" w:color="auto" w:fill="FF0000"/>
            <w:vAlign w:val="center"/>
          </w:tcPr>
          <w:p w14:paraId="7B4789BA" w14:textId="77777777" w:rsidR="000A0A8E" w:rsidRPr="000A0A8E" w:rsidRDefault="000A0A8E" w:rsidP="00B87916">
            <w:pPr>
              <w:snapToGrid w:val="0"/>
              <w:jc w:val="center"/>
              <w:rPr>
                <w:rFonts w:cs="Arial"/>
                <w:b/>
                <w:bCs/>
                <w:kern w:val="2"/>
                <w:sz w:val="20"/>
                <w:szCs w:val="20"/>
              </w:rPr>
            </w:pPr>
            <w:r w:rsidRPr="000A0A8E">
              <w:rPr>
                <w:rFonts w:cs="Arial"/>
                <w:b/>
                <w:kern w:val="2"/>
                <w:sz w:val="20"/>
                <w:szCs w:val="20"/>
              </w:rPr>
              <w:t>D</w:t>
            </w:r>
          </w:p>
        </w:tc>
      </w:tr>
      <w:tr w:rsidR="000A0A8E" w:rsidRPr="001B4955" w14:paraId="24E1DCA2" w14:textId="77777777" w:rsidTr="00B87916">
        <w:trPr>
          <w:trHeight w:val="20"/>
        </w:trPr>
        <w:tc>
          <w:tcPr>
            <w:tcW w:w="2552" w:type="dxa"/>
            <w:vMerge/>
            <w:tcBorders>
              <w:left w:val="single" w:sz="8" w:space="0" w:color="auto"/>
              <w:bottom w:val="single" w:sz="4" w:space="0" w:color="auto"/>
              <w:right w:val="single" w:sz="8" w:space="0" w:color="000000"/>
            </w:tcBorders>
            <w:shd w:val="clear" w:color="auto" w:fill="auto"/>
            <w:vAlign w:val="center"/>
          </w:tcPr>
          <w:p w14:paraId="5AC0C505" w14:textId="77777777" w:rsidR="000A0A8E" w:rsidRPr="000A0A8E" w:rsidRDefault="000A0A8E" w:rsidP="00B87916">
            <w:pPr>
              <w:snapToGrid w:val="0"/>
              <w:rPr>
                <w:rFonts w:cs="Arial"/>
                <w:b/>
                <w:sz w:val="20"/>
                <w:szCs w:val="20"/>
              </w:rPr>
            </w:pPr>
          </w:p>
        </w:tc>
        <w:tc>
          <w:tcPr>
            <w:tcW w:w="1658" w:type="dxa"/>
            <w:tcBorders>
              <w:top w:val="single" w:sz="8" w:space="0" w:color="auto"/>
              <w:left w:val="single" w:sz="8" w:space="0" w:color="auto"/>
              <w:bottom w:val="single" w:sz="8" w:space="0" w:color="auto"/>
              <w:right w:val="single" w:sz="8" w:space="0" w:color="000000"/>
            </w:tcBorders>
            <w:vAlign w:val="center"/>
          </w:tcPr>
          <w:p w14:paraId="3053385F" w14:textId="77777777" w:rsidR="000A0A8E" w:rsidRPr="000A0A8E" w:rsidRDefault="000A0A8E" w:rsidP="00B87916">
            <w:pPr>
              <w:snapToGrid w:val="0"/>
              <w:jc w:val="center"/>
              <w:rPr>
                <w:rFonts w:cs="Arial"/>
                <w:sz w:val="20"/>
                <w:szCs w:val="20"/>
              </w:rPr>
            </w:pPr>
          </w:p>
        </w:tc>
        <w:tc>
          <w:tcPr>
            <w:tcW w:w="1659" w:type="dxa"/>
            <w:tcBorders>
              <w:top w:val="single" w:sz="8" w:space="0" w:color="auto"/>
              <w:left w:val="single" w:sz="8" w:space="0" w:color="auto"/>
              <w:bottom w:val="single" w:sz="8" w:space="0" w:color="auto"/>
              <w:right w:val="single" w:sz="8" w:space="0" w:color="000000"/>
            </w:tcBorders>
            <w:vAlign w:val="center"/>
          </w:tcPr>
          <w:p w14:paraId="03A6600B" w14:textId="77777777" w:rsidR="000A0A8E" w:rsidRPr="000A0A8E" w:rsidRDefault="000A0A8E" w:rsidP="00B87916">
            <w:pPr>
              <w:snapToGrid w:val="0"/>
              <w:jc w:val="center"/>
              <w:rPr>
                <w:rFonts w:cs="Arial"/>
                <w:b/>
                <w:sz w:val="20"/>
                <w:szCs w:val="20"/>
              </w:rPr>
            </w:pPr>
          </w:p>
        </w:tc>
        <w:tc>
          <w:tcPr>
            <w:tcW w:w="1659" w:type="dxa"/>
            <w:tcBorders>
              <w:top w:val="single" w:sz="8" w:space="0" w:color="auto"/>
              <w:left w:val="single" w:sz="8" w:space="0" w:color="auto"/>
              <w:bottom w:val="single" w:sz="8" w:space="0" w:color="auto"/>
              <w:right w:val="single" w:sz="8" w:space="0" w:color="000000"/>
            </w:tcBorders>
            <w:vAlign w:val="center"/>
          </w:tcPr>
          <w:p w14:paraId="20BF3D12" w14:textId="77777777" w:rsidR="000A0A8E" w:rsidRPr="000A0A8E" w:rsidRDefault="000A0A8E" w:rsidP="00B87916">
            <w:pPr>
              <w:snapToGrid w:val="0"/>
              <w:jc w:val="center"/>
              <w:rPr>
                <w:rFonts w:cs="Arial"/>
                <w:b/>
                <w:sz w:val="20"/>
                <w:szCs w:val="20"/>
              </w:rPr>
            </w:pPr>
            <w:r w:rsidRPr="000A0A8E">
              <w:rPr>
                <w:rFonts w:cs="Arial"/>
                <w:b/>
                <w:sz w:val="20"/>
                <w:szCs w:val="20"/>
              </w:rPr>
              <w:t>X</w:t>
            </w:r>
          </w:p>
        </w:tc>
        <w:tc>
          <w:tcPr>
            <w:tcW w:w="1659" w:type="dxa"/>
            <w:tcBorders>
              <w:top w:val="single" w:sz="8" w:space="0" w:color="auto"/>
              <w:left w:val="single" w:sz="8" w:space="0" w:color="auto"/>
              <w:bottom w:val="single" w:sz="8" w:space="0" w:color="auto"/>
              <w:right w:val="single" w:sz="8" w:space="0" w:color="000000"/>
            </w:tcBorders>
            <w:vAlign w:val="center"/>
          </w:tcPr>
          <w:p w14:paraId="6396A26B" w14:textId="77777777" w:rsidR="000A0A8E" w:rsidRPr="000A0A8E" w:rsidRDefault="000A0A8E" w:rsidP="00B87916">
            <w:pPr>
              <w:snapToGrid w:val="0"/>
              <w:jc w:val="center"/>
              <w:rPr>
                <w:rFonts w:cs="Arial"/>
                <w:sz w:val="20"/>
                <w:szCs w:val="20"/>
              </w:rPr>
            </w:pPr>
          </w:p>
        </w:tc>
      </w:tr>
    </w:tbl>
    <w:p w14:paraId="07D9ECB3" w14:textId="77777777" w:rsidR="000A0A8E" w:rsidRDefault="000A0A8E" w:rsidP="000A0A8E">
      <w:pPr>
        <w:pStyle w:val="Sansinterligne"/>
      </w:pPr>
    </w:p>
    <w:p w14:paraId="4E5A4B32" w14:textId="77777777" w:rsidR="000A0A8E" w:rsidRDefault="000A0A8E" w:rsidP="000A0A8E">
      <w:pPr>
        <w:pStyle w:val="Sansinterligne"/>
      </w:pPr>
      <w:r w:rsidRPr="000A0A8E">
        <w:rPr>
          <w:b/>
          <w:i/>
          <w:color w:val="404040"/>
        </w:rPr>
        <w:t>Pertinencia</w:t>
      </w:r>
      <w:r w:rsidRPr="000A0A8E">
        <w:rPr>
          <w:b/>
          <w:color w:val="404040"/>
        </w:rPr>
        <w:t>.</w:t>
      </w:r>
      <w:r w:rsidRPr="000A0A8E">
        <w:rPr>
          <w:color w:val="404040"/>
        </w:rPr>
        <w:t xml:space="preserve">  </w:t>
      </w:r>
      <w:r>
        <w:t>La intervención del PRODERN en tanto que apoyo al MINAM acierta en construir un proceso de ejecución de la política del ambiente, que teje mecanismos de trabajo – de orientación, de asesoramiento, de financiación… -, entre los distintos niveles de Gobierno, con los actores no gubernamentales con fines públicos, y con las comunidades campesinas y nativas de dos ambientes biogeográficos distintos del país, que enfrentan diferentes desafíos ambientales: uno por la fuerte degradación de su recurso primario, y el otro por tener una abundancia relativa de recursos primarios sometida a una agresiva frontera económica, pero ambos en condiciones de institucionalidad local débil. Acierta también en centrarse en la articulación entre conservación y ocupación sostenible de los paisajes, y en articular el financiamiento de prácticas – de VPN, de SPS usando la biodiversidad -, con la retroalimentación de las políticas y, recíprocamente, reforzando las prácticas con reglamentaciones emitidas por los gobiernos regionales o locales, en concordancia con las regulaciones nacionales. La pertinencia es valorada como A-B de forma global.</w:t>
      </w:r>
    </w:p>
    <w:p w14:paraId="79039188" w14:textId="77777777" w:rsidR="000A0A8E" w:rsidRDefault="000A0A8E" w:rsidP="000A0A8E">
      <w:pPr>
        <w:pStyle w:val="Sansinterligne"/>
      </w:pPr>
    </w:p>
    <w:p w14:paraId="18F2FC7B" w14:textId="77777777" w:rsidR="000A0A8E" w:rsidRDefault="000A0A8E" w:rsidP="000A0A8E">
      <w:pPr>
        <w:pStyle w:val="Sansinterligne"/>
      </w:pPr>
      <w:r w:rsidRPr="000A0A8E">
        <w:rPr>
          <w:b/>
          <w:i/>
          <w:color w:val="404040"/>
        </w:rPr>
        <w:t>Eficiencia</w:t>
      </w:r>
      <w:r>
        <w:t xml:space="preserve">. En el aspecto de la instrumentación la eficiencia es alta en el uso de insumos, pero baja en cuanto al ritmo y volumen de las aportaciones de los socios, y media en cuanto a las diferentes modalidades utilizadas. También es media en cuanto a los productos obtenidos, debido a las variaciones entre los resultados, siendo relativamente mejor en el objetivo de conservación y financiamiento de acciones articuladas, y peor en el objetivo de educación. La eficiencia global es por ende valorada en </w:t>
      </w:r>
      <w:r w:rsidRPr="00A53AFF">
        <w:rPr>
          <w:b/>
        </w:rPr>
        <w:t>B</w:t>
      </w:r>
      <w:r>
        <w:rPr>
          <w:b/>
        </w:rPr>
        <w:t xml:space="preserve"> - C</w:t>
      </w:r>
      <w:r>
        <w:t>.</w:t>
      </w:r>
    </w:p>
    <w:p w14:paraId="3CCCA7B7" w14:textId="77777777" w:rsidR="000A0A8E" w:rsidRDefault="000A0A8E" w:rsidP="000A0A8E">
      <w:pPr>
        <w:pStyle w:val="Sansinterligne"/>
      </w:pPr>
    </w:p>
    <w:p w14:paraId="124AF7B1" w14:textId="77777777" w:rsidR="000A0A8E" w:rsidRDefault="000A0A8E" w:rsidP="000A0A8E">
      <w:pPr>
        <w:pStyle w:val="Sansinterligne"/>
      </w:pPr>
      <w:r w:rsidRPr="000A0A8E">
        <w:rPr>
          <w:b/>
          <w:i/>
          <w:color w:val="404040"/>
        </w:rPr>
        <w:t>Eficacia</w:t>
      </w:r>
      <w:r w:rsidRPr="000A0A8E">
        <w:rPr>
          <w:b/>
          <w:color w:val="404040"/>
        </w:rPr>
        <w:t>.</w:t>
      </w:r>
      <w:r w:rsidRPr="000A0A8E">
        <w:rPr>
          <w:color w:val="404040"/>
        </w:rPr>
        <w:t xml:space="preserve"> </w:t>
      </w:r>
      <w:r w:rsidRPr="00482074">
        <w:t xml:space="preserve">La evaluación de la </w:t>
      </w:r>
      <w:r w:rsidRPr="002C4043">
        <w:t>eficacia</w:t>
      </w:r>
      <w:r w:rsidRPr="00482074">
        <w:t xml:space="preserve"> parte de la </w:t>
      </w:r>
      <w:r>
        <w:t xml:space="preserve">verificación </w:t>
      </w:r>
      <w:r w:rsidRPr="00482074">
        <w:t xml:space="preserve">de los productos asentada en el criterio de eficiencia, y se enfoca en </w:t>
      </w:r>
      <w:r w:rsidRPr="002C4043">
        <w:t>la utilización de éstos por los actores y por los cambios que originan en las prácticas de ellos</w:t>
      </w:r>
      <w:r w:rsidRPr="00482074">
        <w:t xml:space="preserve">. </w:t>
      </w:r>
      <w:r>
        <w:t xml:space="preserve">La conclusión es que la eficacia global califica como media, o de nivel </w:t>
      </w:r>
      <w:r w:rsidRPr="00A53AFF">
        <w:rPr>
          <w:b/>
        </w:rPr>
        <w:t>B</w:t>
      </w:r>
      <w:r>
        <w:t>, debido a que los efectos del PRODERN II son, en el ámbito institucional, medio – bajos, así como en el ámbito de la articulación entre ANP y entorno, y medios en cuanto a las acciones de gestión territorial – porque el desempeño de los MRSE hídricos le hace perder puntos -, pero bajos en los cambios en el medio educativo, y en el medio informativo, así como en la gobernanza ambiental con excepción del Apurímac. La adopción en el sentido global de institucionalización del Programa se avanzó pero no está consolidada.</w:t>
      </w:r>
    </w:p>
    <w:p w14:paraId="610CFD77" w14:textId="77777777" w:rsidR="000A0A8E" w:rsidRDefault="000A0A8E" w:rsidP="000A0A8E">
      <w:pPr>
        <w:pStyle w:val="Sansinterligne"/>
      </w:pPr>
    </w:p>
    <w:p w14:paraId="4A64B8F6" w14:textId="77777777" w:rsidR="000A0A8E" w:rsidRDefault="000A0A8E" w:rsidP="000A0A8E">
      <w:pPr>
        <w:pStyle w:val="Sansinterligne"/>
      </w:pPr>
      <w:r w:rsidRPr="000A0A8E">
        <w:rPr>
          <w:b/>
          <w:i/>
          <w:color w:val="404040"/>
        </w:rPr>
        <w:t>Impactos</w:t>
      </w:r>
      <w:r w:rsidRPr="000A0A8E">
        <w:rPr>
          <w:b/>
          <w:color w:val="404040"/>
        </w:rPr>
        <w:t>.</w:t>
      </w:r>
      <w:r w:rsidRPr="000A0A8E">
        <w:rPr>
          <w:color w:val="404040"/>
        </w:rPr>
        <w:t xml:space="preserve"> </w:t>
      </w:r>
      <w:r>
        <w:t xml:space="preserve">El PRODERN ha logrado impactar en una docena de distritos, entre los 319 de su área de intervención, cuando los procesos institucionales de reglamentación, de fomento, de acompañamiento y las iniciativas de las comunidades campesinas y nativas se coordinan para generar cambios. Este impacto califica como nivel medio, porque no se logran todas las coordinaciones ni todos los procesos están bien asumidos, sobre todo los MRSE hídricos. </w:t>
      </w:r>
    </w:p>
    <w:p w14:paraId="1518A371" w14:textId="77777777" w:rsidR="000A0A8E" w:rsidRDefault="000A0A8E" w:rsidP="000A0A8E">
      <w:pPr>
        <w:pStyle w:val="Sansinterligne"/>
      </w:pPr>
    </w:p>
    <w:p w14:paraId="6D42D301" w14:textId="77777777" w:rsidR="000A0A8E" w:rsidRDefault="000A0A8E" w:rsidP="000A0A8E">
      <w:pPr>
        <w:pStyle w:val="Sansinterligne"/>
      </w:pPr>
      <w:r>
        <w:t xml:space="preserve">En el nivel institucional regional y central ha impactado con desigual éxito según las regiones, con Apurímac en la cabeza, pero la retroalimentación de los procesos locales hacia la gestión institucional es insuficiente. Dado que dichos procesos representan menos del 2% de la población regional concernida, los impactos micro del Programa deben ser positivos para tener un efecto demostrativo. Los más encaminados están en Apurímac y en Selva central. </w:t>
      </w:r>
    </w:p>
    <w:p w14:paraId="37A5CCF8" w14:textId="77777777" w:rsidR="000A0A8E" w:rsidRDefault="000A0A8E" w:rsidP="000A0A8E">
      <w:pPr>
        <w:pStyle w:val="Sansinterligne"/>
      </w:pPr>
    </w:p>
    <w:p w14:paraId="6EB50674" w14:textId="77777777" w:rsidR="000A0A8E" w:rsidRDefault="000A0A8E" w:rsidP="000A0A8E">
      <w:pPr>
        <w:pStyle w:val="Sansinterligne"/>
      </w:pPr>
      <w:r>
        <w:t xml:space="preserve">Los impactos micro en las personas, son incipientes en algunos rubros y nulos en otros, pero ya se aprecia directamente y la población expresa una mayor disponibilidad alimentaria por </w:t>
      </w:r>
      <w:r w:rsidRPr="00522A9F">
        <w:t>mayores niveles de producción, incremento de ingresos de manera eventual o constante y disponibilidad mayor de alimentos sanos, pescados, criados o cosechados.</w:t>
      </w:r>
      <w:r>
        <w:t xml:space="preserve">.. Además, </w:t>
      </w:r>
      <w:r w:rsidRPr="00522A9F">
        <w:t xml:space="preserve">ha generado </w:t>
      </w:r>
      <w:r>
        <w:t>otros</w:t>
      </w:r>
      <w:r w:rsidRPr="00522A9F">
        <w:t xml:space="preserve"> beneficios, desde una sensación mayor de bienestar </w:t>
      </w:r>
      <w:r>
        <w:t xml:space="preserve">de parte </w:t>
      </w:r>
      <w:r w:rsidRPr="00522A9F">
        <w:t xml:space="preserve">de las mujeres, </w:t>
      </w:r>
      <w:r>
        <w:t xml:space="preserve">por </w:t>
      </w:r>
      <w:r w:rsidRPr="00522A9F">
        <w:t>una mayor auto</w:t>
      </w:r>
      <w:r>
        <w:t>r</w:t>
      </w:r>
      <w:r w:rsidRPr="00522A9F">
        <w:t>realización logrando ingresos propios, incremento de conocimientos y capacidades humanas, revaloración de lo nativo, recuperación de acciones colectivas tradicionales</w:t>
      </w:r>
      <w:r>
        <w:t>.</w:t>
      </w:r>
    </w:p>
    <w:p w14:paraId="31C59178" w14:textId="77777777" w:rsidR="000A0A8E" w:rsidRDefault="000A0A8E" w:rsidP="000A0A8E">
      <w:pPr>
        <w:pStyle w:val="Sansinterligne"/>
        <w:tabs>
          <w:tab w:val="left" w:pos="3600"/>
        </w:tabs>
      </w:pPr>
      <w:r>
        <w:tab/>
      </w:r>
    </w:p>
    <w:p w14:paraId="036A6FDB" w14:textId="77777777" w:rsidR="000A0A8E" w:rsidRDefault="000A0A8E" w:rsidP="000A0A8E">
      <w:proofErr w:type="spellStart"/>
      <w:r w:rsidRPr="000A0A8E">
        <w:rPr>
          <w:b/>
          <w:i/>
          <w:color w:val="404040"/>
        </w:rPr>
        <w:t>Sostenibilidad</w:t>
      </w:r>
      <w:proofErr w:type="spellEnd"/>
      <w:r w:rsidRPr="000A0A8E">
        <w:rPr>
          <w:b/>
          <w:color w:val="404040"/>
        </w:rPr>
        <w:t>.</w:t>
      </w:r>
      <w:r w:rsidRPr="000A0A8E">
        <w:rPr>
          <w:color w:val="404040"/>
        </w:rPr>
        <w:t xml:space="preserve"> </w:t>
      </w:r>
      <w:r>
        <w:t xml:space="preserve">La </w:t>
      </w:r>
      <w:proofErr w:type="spellStart"/>
      <w:r>
        <w:t>sostenibilidad</w:t>
      </w:r>
      <w:proofErr w:type="spellEnd"/>
      <w:r>
        <w:t xml:space="preserve"> </w:t>
      </w:r>
      <w:r w:rsidRPr="00813DF8">
        <w:t xml:space="preserve">en </w:t>
      </w:r>
      <w:r>
        <w:t xml:space="preserve">la </w:t>
      </w:r>
      <w:proofErr w:type="spellStart"/>
      <w:r>
        <w:t>esfera</w:t>
      </w:r>
      <w:proofErr w:type="spellEnd"/>
      <w:r>
        <w:t xml:space="preserve"> de la </w:t>
      </w:r>
      <w:proofErr w:type="spellStart"/>
      <w:r>
        <w:t>gestión</w:t>
      </w:r>
      <w:proofErr w:type="spellEnd"/>
      <w:r>
        <w:t xml:space="preserve"> </w:t>
      </w:r>
      <w:proofErr w:type="spellStart"/>
      <w:r>
        <w:t>ambiental</w:t>
      </w:r>
      <w:proofErr w:type="spellEnd"/>
      <w:r>
        <w:t xml:space="preserve"> en su</w:t>
      </w:r>
      <w:r w:rsidRPr="00813DF8">
        <w:t xml:space="preserve">s </w:t>
      </w:r>
      <w:proofErr w:type="spellStart"/>
      <w:r w:rsidRPr="00813DF8">
        <w:t>diferentes</w:t>
      </w:r>
      <w:proofErr w:type="spellEnd"/>
      <w:r w:rsidRPr="00813DF8">
        <w:t xml:space="preserve"> </w:t>
      </w:r>
      <w:proofErr w:type="spellStart"/>
      <w:r w:rsidRPr="00813DF8">
        <w:t>facetas</w:t>
      </w:r>
      <w:proofErr w:type="spellEnd"/>
      <w:r w:rsidRPr="00813DF8">
        <w:t xml:space="preserve"> es </w:t>
      </w:r>
      <w:proofErr w:type="spellStart"/>
      <w:r w:rsidRPr="00813DF8">
        <w:t>globalmente</w:t>
      </w:r>
      <w:proofErr w:type="spellEnd"/>
      <w:r w:rsidRPr="00813DF8">
        <w:t xml:space="preserve"> de </w:t>
      </w:r>
      <w:proofErr w:type="spellStart"/>
      <w:r w:rsidRPr="00813DF8">
        <w:t>nivel</w:t>
      </w:r>
      <w:proofErr w:type="spellEnd"/>
      <w:r w:rsidRPr="00813DF8">
        <w:t xml:space="preserve"> medio </w:t>
      </w:r>
      <w:proofErr w:type="spellStart"/>
      <w:r w:rsidRPr="00813DF8">
        <w:t>por</w:t>
      </w:r>
      <w:proofErr w:type="spellEnd"/>
      <w:r w:rsidRPr="00813DF8">
        <w:t xml:space="preserve"> la </w:t>
      </w:r>
      <w:proofErr w:type="spellStart"/>
      <w:r w:rsidRPr="00813DF8">
        <w:t>calidad</w:t>
      </w:r>
      <w:proofErr w:type="spellEnd"/>
      <w:r w:rsidRPr="00813DF8">
        <w:t xml:space="preserve"> </w:t>
      </w:r>
      <w:proofErr w:type="spellStart"/>
      <w:r w:rsidRPr="00813DF8">
        <w:t>d</w:t>
      </w:r>
      <w:r>
        <w:t>el</w:t>
      </w:r>
      <w:proofErr w:type="spellEnd"/>
      <w:r>
        <w:t xml:space="preserve"> </w:t>
      </w:r>
      <w:proofErr w:type="spellStart"/>
      <w:r>
        <w:t>marco</w:t>
      </w:r>
      <w:proofErr w:type="spellEnd"/>
      <w:r>
        <w:t xml:space="preserve"> de </w:t>
      </w:r>
      <w:proofErr w:type="spellStart"/>
      <w:r>
        <w:t>políticas</w:t>
      </w:r>
      <w:proofErr w:type="spellEnd"/>
      <w:r>
        <w:t xml:space="preserve">, </w:t>
      </w:r>
      <w:proofErr w:type="spellStart"/>
      <w:r>
        <w:t>por</w:t>
      </w:r>
      <w:proofErr w:type="spellEnd"/>
      <w:r>
        <w:t xml:space="preserve"> la </w:t>
      </w:r>
      <w:proofErr w:type="spellStart"/>
      <w:r>
        <w:t>gobernanza</w:t>
      </w:r>
      <w:proofErr w:type="spellEnd"/>
      <w:r>
        <w:t xml:space="preserve"> y </w:t>
      </w:r>
      <w:proofErr w:type="spellStart"/>
      <w:r>
        <w:t>por</w:t>
      </w:r>
      <w:proofErr w:type="spellEnd"/>
      <w:r>
        <w:t xml:space="preserve"> la </w:t>
      </w:r>
      <w:proofErr w:type="spellStart"/>
      <w:r>
        <w:t>capacidad</w:t>
      </w:r>
      <w:proofErr w:type="spellEnd"/>
      <w:r>
        <w:t xml:space="preserve"> de las instancias y de </w:t>
      </w:r>
      <w:proofErr w:type="spellStart"/>
      <w:r>
        <w:t>manejo</w:t>
      </w:r>
      <w:proofErr w:type="spellEnd"/>
      <w:r>
        <w:t xml:space="preserve"> de la </w:t>
      </w:r>
      <w:proofErr w:type="spellStart"/>
      <w:r>
        <w:t>información</w:t>
      </w:r>
      <w:proofErr w:type="spellEnd"/>
      <w:r>
        <w:t xml:space="preserve">.  El impasse </w:t>
      </w:r>
      <w:proofErr w:type="spellStart"/>
      <w:r>
        <w:t>actual</w:t>
      </w:r>
      <w:proofErr w:type="spellEnd"/>
      <w:r>
        <w:t xml:space="preserve"> sobre el devenir </w:t>
      </w:r>
      <w:proofErr w:type="spellStart"/>
      <w:r>
        <w:t>del</w:t>
      </w:r>
      <w:proofErr w:type="spellEnd"/>
      <w:r>
        <w:t xml:space="preserve"> OT y </w:t>
      </w:r>
      <w:proofErr w:type="spellStart"/>
      <w:r>
        <w:t>por</w:t>
      </w:r>
      <w:proofErr w:type="spellEnd"/>
      <w:r>
        <w:t xml:space="preserve"> </w:t>
      </w:r>
      <w:proofErr w:type="spellStart"/>
      <w:r>
        <w:t>ende</w:t>
      </w:r>
      <w:proofErr w:type="spellEnd"/>
      <w:r>
        <w:t xml:space="preserve"> de </w:t>
      </w:r>
      <w:proofErr w:type="spellStart"/>
      <w:r>
        <w:t>las</w:t>
      </w:r>
      <w:proofErr w:type="spellEnd"/>
      <w:r>
        <w:t xml:space="preserve"> ZEE </w:t>
      </w:r>
      <w:proofErr w:type="spellStart"/>
      <w:r>
        <w:t>afecta</w:t>
      </w:r>
      <w:proofErr w:type="spellEnd"/>
      <w:r>
        <w:t xml:space="preserve"> la nota </w:t>
      </w:r>
      <w:proofErr w:type="spellStart"/>
      <w:r>
        <w:t>del</w:t>
      </w:r>
      <w:proofErr w:type="spellEnd"/>
      <w:r>
        <w:t xml:space="preserve"> </w:t>
      </w:r>
      <w:proofErr w:type="spellStart"/>
      <w:r>
        <w:t>marco</w:t>
      </w:r>
      <w:proofErr w:type="spellEnd"/>
      <w:r>
        <w:t xml:space="preserve"> de </w:t>
      </w:r>
      <w:proofErr w:type="spellStart"/>
      <w:r>
        <w:t>políticas</w:t>
      </w:r>
      <w:proofErr w:type="spellEnd"/>
      <w:r>
        <w:t xml:space="preserve">, que </w:t>
      </w:r>
      <w:proofErr w:type="spellStart"/>
      <w:r>
        <w:t>por</w:t>
      </w:r>
      <w:proofErr w:type="spellEnd"/>
      <w:r>
        <w:t xml:space="preserve"> </w:t>
      </w:r>
      <w:proofErr w:type="spellStart"/>
      <w:r>
        <w:t>lo</w:t>
      </w:r>
      <w:proofErr w:type="spellEnd"/>
      <w:r>
        <w:t xml:space="preserve"> </w:t>
      </w:r>
      <w:proofErr w:type="spellStart"/>
      <w:r>
        <w:t>demás</w:t>
      </w:r>
      <w:proofErr w:type="spellEnd"/>
      <w:r>
        <w:t xml:space="preserve"> ha </w:t>
      </w:r>
      <w:proofErr w:type="spellStart"/>
      <w:r>
        <w:t>progresado</w:t>
      </w:r>
      <w:proofErr w:type="spellEnd"/>
      <w:r>
        <w:t xml:space="preserve"> </w:t>
      </w:r>
      <w:proofErr w:type="spellStart"/>
      <w:r>
        <w:t>netamente</w:t>
      </w:r>
      <w:proofErr w:type="spellEnd"/>
      <w:r>
        <w:t xml:space="preserve">, </w:t>
      </w:r>
      <w:proofErr w:type="spellStart"/>
      <w:r>
        <w:t>pero</w:t>
      </w:r>
      <w:proofErr w:type="spellEnd"/>
      <w:r>
        <w:t xml:space="preserve"> la </w:t>
      </w:r>
      <w:proofErr w:type="spellStart"/>
      <w:r>
        <w:t>gestión</w:t>
      </w:r>
      <w:proofErr w:type="spellEnd"/>
      <w:r>
        <w:t xml:space="preserve"> de </w:t>
      </w:r>
      <w:proofErr w:type="spellStart"/>
      <w:r>
        <w:t>información</w:t>
      </w:r>
      <w:proofErr w:type="spellEnd"/>
      <w:r>
        <w:t xml:space="preserve"> sigue </w:t>
      </w:r>
      <w:proofErr w:type="spellStart"/>
      <w:r>
        <w:t>siendo</w:t>
      </w:r>
      <w:proofErr w:type="spellEnd"/>
      <w:r>
        <w:t xml:space="preserve"> </w:t>
      </w:r>
      <w:proofErr w:type="spellStart"/>
      <w:r>
        <w:t>débil</w:t>
      </w:r>
      <w:proofErr w:type="spellEnd"/>
      <w:r>
        <w:t xml:space="preserve">, peso a los avances en su </w:t>
      </w:r>
      <w:proofErr w:type="spellStart"/>
      <w:r>
        <w:t>organización</w:t>
      </w:r>
      <w:proofErr w:type="spellEnd"/>
      <w:r>
        <w:t xml:space="preserve"> </w:t>
      </w:r>
      <w:proofErr w:type="spellStart"/>
      <w:r>
        <w:t>virtual</w:t>
      </w:r>
      <w:proofErr w:type="spellEnd"/>
      <w:r>
        <w:t xml:space="preserve">. La </w:t>
      </w:r>
      <w:proofErr w:type="spellStart"/>
      <w:r>
        <w:t>gobernanza</w:t>
      </w:r>
      <w:proofErr w:type="spellEnd"/>
      <w:r>
        <w:t xml:space="preserve"> se </w:t>
      </w:r>
      <w:proofErr w:type="spellStart"/>
      <w:r>
        <w:t>coloca</w:t>
      </w:r>
      <w:proofErr w:type="spellEnd"/>
      <w:r>
        <w:t xml:space="preserve"> en un balance entre la </w:t>
      </w:r>
      <w:proofErr w:type="spellStart"/>
      <w:r>
        <w:t>dimensión</w:t>
      </w:r>
      <w:proofErr w:type="spellEnd"/>
      <w:r>
        <w:t xml:space="preserve"> </w:t>
      </w:r>
      <w:proofErr w:type="spellStart"/>
      <w:r>
        <w:t>organizacional</w:t>
      </w:r>
      <w:proofErr w:type="spellEnd"/>
      <w:r>
        <w:t xml:space="preserve"> de base de la </w:t>
      </w:r>
      <w:proofErr w:type="spellStart"/>
      <w:r>
        <w:t>sostenibilidad</w:t>
      </w:r>
      <w:proofErr w:type="spellEnd"/>
      <w:r>
        <w:t xml:space="preserve"> de los avances, que es </w:t>
      </w:r>
      <w:proofErr w:type="spellStart"/>
      <w:r>
        <w:t>alta</w:t>
      </w:r>
      <w:proofErr w:type="spellEnd"/>
      <w:r>
        <w:t xml:space="preserve">, y la </w:t>
      </w:r>
      <w:proofErr w:type="spellStart"/>
      <w:r>
        <w:t>contribución</w:t>
      </w:r>
      <w:proofErr w:type="spellEnd"/>
      <w:r>
        <w:t xml:space="preserve"> que los </w:t>
      </w:r>
      <w:proofErr w:type="spellStart"/>
      <w:r>
        <w:t>gobiernos</w:t>
      </w:r>
      <w:proofErr w:type="spellEnd"/>
      <w:r>
        <w:t xml:space="preserve"> locales </w:t>
      </w:r>
      <w:proofErr w:type="spellStart"/>
      <w:r>
        <w:t>puedan</w:t>
      </w:r>
      <w:proofErr w:type="spellEnd"/>
      <w:r>
        <w:t xml:space="preserve"> dar a </w:t>
      </w:r>
      <w:proofErr w:type="spellStart"/>
      <w:r>
        <w:t>estos</w:t>
      </w:r>
      <w:proofErr w:type="spellEnd"/>
      <w:r>
        <w:t xml:space="preserve"> </w:t>
      </w:r>
      <w:proofErr w:type="spellStart"/>
      <w:r>
        <w:t>procesos</w:t>
      </w:r>
      <w:proofErr w:type="spellEnd"/>
      <w:r>
        <w:t xml:space="preserve">, que es </w:t>
      </w:r>
      <w:proofErr w:type="spellStart"/>
      <w:r>
        <w:t>baja</w:t>
      </w:r>
      <w:proofErr w:type="spellEnd"/>
      <w:r>
        <w:t>.</w:t>
      </w:r>
    </w:p>
    <w:p w14:paraId="4E5B5424" w14:textId="77777777" w:rsidR="000A0A8E" w:rsidRPr="00F60ECE" w:rsidRDefault="000A0A8E" w:rsidP="000A0A8E">
      <w:r>
        <w:t xml:space="preserve">En </w:t>
      </w:r>
      <w:proofErr w:type="spellStart"/>
      <w:r>
        <w:t>cuanto</w:t>
      </w:r>
      <w:proofErr w:type="spellEnd"/>
      <w:r>
        <w:t xml:space="preserve"> a los </w:t>
      </w:r>
      <w:proofErr w:type="spellStart"/>
      <w:r>
        <w:t>procesos</w:t>
      </w:r>
      <w:proofErr w:type="spellEnd"/>
      <w:r>
        <w:t xml:space="preserve"> locales </w:t>
      </w:r>
      <w:proofErr w:type="spellStart"/>
      <w:r>
        <w:t>iniciados</w:t>
      </w:r>
      <w:proofErr w:type="spellEnd"/>
      <w:r>
        <w:t xml:space="preserve"> en </w:t>
      </w:r>
      <w:proofErr w:type="spellStart"/>
      <w:r>
        <w:t>una</w:t>
      </w:r>
      <w:proofErr w:type="spellEnd"/>
      <w:r>
        <w:t xml:space="preserve"> </w:t>
      </w:r>
      <w:proofErr w:type="spellStart"/>
      <w:r>
        <w:t>docena</w:t>
      </w:r>
      <w:proofErr w:type="spellEnd"/>
      <w:r>
        <w:t xml:space="preserve"> de </w:t>
      </w:r>
      <w:proofErr w:type="spellStart"/>
      <w:r>
        <w:t>paisajes</w:t>
      </w:r>
      <w:proofErr w:type="spellEnd"/>
      <w:r>
        <w:t xml:space="preserve"> </w:t>
      </w:r>
      <w:proofErr w:type="spellStart"/>
      <w:r>
        <w:t>pero</w:t>
      </w:r>
      <w:proofErr w:type="spellEnd"/>
      <w:r>
        <w:t xml:space="preserve"> con un </w:t>
      </w:r>
      <w:proofErr w:type="spellStart"/>
      <w:r>
        <w:t>nivel</w:t>
      </w:r>
      <w:proofErr w:type="spellEnd"/>
      <w:r>
        <w:t xml:space="preserve"> de avance notable en la </w:t>
      </w:r>
      <w:proofErr w:type="spellStart"/>
      <w:r>
        <w:t>mitad</w:t>
      </w:r>
      <w:proofErr w:type="spellEnd"/>
      <w:r>
        <w:t xml:space="preserve"> de </w:t>
      </w:r>
      <w:proofErr w:type="spellStart"/>
      <w:r>
        <w:t>ellos</w:t>
      </w:r>
      <w:proofErr w:type="spellEnd"/>
      <w:r>
        <w:t xml:space="preserve">, </w:t>
      </w:r>
      <w:proofErr w:type="spellStart"/>
      <w:r>
        <w:t>mientras</w:t>
      </w:r>
      <w:proofErr w:type="spellEnd"/>
      <w:r>
        <w:t xml:space="preserve"> en los </w:t>
      </w:r>
      <w:proofErr w:type="spellStart"/>
      <w:r>
        <w:t>otros</w:t>
      </w:r>
      <w:proofErr w:type="spellEnd"/>
      <w:r>
        <w:t xml:space="preserve"> los </w:t>
      </w:r>
      <w:proofErr w:type="spellStart"/>
      <w:r>
        <w:t>procesos</w:t>
      </w:r>
      <w:proofErr w:type="spellEnd"/>
      <w:r>
        <w:t xml:space="preserve"> son </w:t>
      </w:r>
      <w:proofErr w:type="spellStart"/>
      <w:r>
        <w:t>todavía</w:t>
      </w:r>
      <w:proofErr w:type="spellEnd"/>
      <w:r>
        <w:t xml:space="preserve"> </w:t>
      </w:r>
      <w:proofErr w:type="spellStart"/>
      <w:r>
        <w:t>incipientes</w:t>
      </w:r>
      <w:proofErr w:type="spellEnd"/>
      <w:r>
        <w:t xml:space="preserve">. Son </w:t>
      </w:r>
      <w:proofErr w:type="spellStart"/>
      <w:r>
        <w:t>factores</w:t>
      </w:r>
      <w:proofErr w:type="spellEnd"/>
      <w:r>
        <w:t xml:space="preserve"> de </w:t>
      </w:r>
      <w:proofErr w:type="spellStart"/>
      <w:r>
        <w:t>sostenibilidad</w:t>
      </w:r>
      <w:proofErr w:type="spellEnd"/>
      <w:r>
        <w:t xml:space="preserve"> el </w:t>
      </w:r>
      <w:proofErr w:type="spellStart"/>
      <w:r w:rsidRPr="00522A9F">
        <w:t>empoderamiento</w:t>
      </w:r>
      <w:proofErr w:type="spellEnd"/>
      <w:r w:rsidRPr="00522A9F">
        <w:t xml:space="preserve"> de las </w:t>
      </w:r>
      <w:proofErr w:type="spellStart"/>
      <w:r w:rsidRPr="00522A9F">
        <w:t>asociaciones</w:t>
      </w:r>
      <w:proofErr w:type="spellEnd"/>
      <w:r w:rsidRPr="00522A9F">
        <w:t xml:space="preserve"> de </w:t>
      </w:r>
      <w:proofErr w:type="spellStart"/>
      <w:r w:rsidRPr="00522A9F">
        <w:t>productores</w:t>
      </w:r>
      <w:proofErr w:type="spellEnd"/>
      <w:r w:rsidRPr="00522A9F">
        <w:t xml:space="preserve"> </w:t>
      </w:r>
      <w:r>
        <w:t xml:space="preserve">y de las </w:t>
      </w:r>
      <w:proofErr w:type="spellStart"/>
      <w:r>
        <w:t>comunidades</w:t>
      </w:r>
      <w:proofErr w:type="spellEnd"/>
      <w:r>
        <w:t xml:space="preserve">, el </w:t>
      </w:r>
      <w:proofErr w:type="spellStart"/>
      <w:r>
        <w:t>activo</w:t>
      </w:r>
      <w:proofErr w:type="spellEnd"/>
      <w:r>
        <w:t xml:space="preserve"> </w:t>
      </w:r>
      <w:proofErr w:type="spellStart"/>
      <w:r>
        <w:t>refuerzo</w:t>
      </w:r>
      <w:proofErr w:type="spellEnd"/>
      <w:r>
        <w:t xml:space="preserve"> de parte de la ODELA, la </w:t>
      </w:r>
      <w:proofErr w:type="spellStart"/>
      <w:r w:rsidRPr="00522A9F">
        <w:t>existencia</w:t>
      </w:r>
      <w:proofErr w:type="spellEnd"/>
      <w:r w:rsidRPr="00522A9F">
        <w:t xml:space="preserve"> </w:t>
      </w:r>
      <w:proofErr w:type="spellStart"/>
      <w:r w:rsidRPr="00522A9F">
        <w:t>del</w:t>
      </w:r>
      <w:proofErr w:type="spellEnd"/>
      <w:r w:rsidRPr="00522A9F">
        <w:t xml:space="preserve"> capital humano, la </w:t>
      </w:r>
      <w:proofErr w:type="spellStart"/>
      <w:r w:rsidRPr="00522A9F">
        <w:t>conciencia</w:t>
      </w:r>
      <w:proofErr w:type="spellEnd"/>
      <w:r w:rsidRPr="00522A9F">
        <w:t xml:space="preserve"> de las </w:t>
      </w:r>
      <w:proofErr w:type="spellStart"/>
      <w:r w:rsidRPr="00522A9F">
        <w:t>comunidades</w:t>
      </w:r>
      <w:proofErr w:type="spellEnd"/>
      <w:r w:rsidRPr="00522A9F">
        <w:t xml:space="preserve"> </w:t>
      </w:r>
      <w:proofErr w:type="spellStart"/>
      <w:r>
        <w:t>d</w:t>
      </w:r>
      <w:r w:rsidRPr="00522A9F">
        <w:t>el</w:t>
      </w:r>
      <w:proofErr w:type="spellEnd"/>
      <w:r w:rsidRPr="00522A9F">
        <w:t xml:space="preserve"> </w:t>
      </w:r>
      <w:proofErr w:type="spellStart"/>
      <w:r w:rsidRPr="00522A9F">
        <w:t>ordenamiento</w:t>
      </w:r>
      <w:proofErr w:type="spellEnd"/>
      <w:r w:rsidRPr="00522A9F">
        <w:t xml:space="preserve"> de su </w:t>
      </w:r>
      <w:proofErr w:type="spellStart"/>
      <w:r w:rsidRPr="00522A9F">
        <w:t>propio</w:t>
      </w:r>
      <w:proofErr w:type="spellEnd"/>
      <w:r w:rsidRPr="00522A9F">
        <w:t xml:space="preserve"> </w:t>
      </w:r>
      <w:proofErr w:type="spellStart"/>
      <w:r w:rsidRPr="00522A9F">
        <w:t>territorio</w:t>
      </w:r>
      <w:proofErr w:type="spellEnd"/>
      <w:r w:rsidRPr="00522A9F">
        <w:t xml:space="preserve">, </w:t>
      </w:r>
      <w:r>
        <w:t>la</w:t>
      </w:r>
      <w:r w:rsidRPr="00522A9F">
        <w:t xml:space="preserve"> </w:t>
      </w:r>
      <w:proofErr w:type="spellStart"/>
      <w:r w:rsidRPr="00522A9F">
        <w:t>capacidad</w:t>
      </w:r>
      <w:proofErr w:type="spellEnd"/>
      <w:r w:rsidRPr="00522A9F">
        <w:t xml:space="preserve"> </w:t>
      </w:r>
      <w:proofErr w:type="spellStart"/>
      <w:r w:rsidRPr="00522A9F">
        <w:t>incrementada</w:t>
      </w:r>
      <w:proofErr w:type="spellEnd"/>
      <w:r w:rsidRPr="00522A9F">
        <w:t xml:space="preserve"> </w:t>
      </w:r>
      <w:r>
        <w:t xml:space="preserve">de las MD para </w:t>
      </w:r>
      <w:proofErr w:type="spellStart"/>
      <w:r w:rsidRPr="00522A9F">
        <w:t>gestionar</w:t>
      </w:r>
      <w:proofErr w:type="spellEnd"/>
      <w:r w:rsidRPr="00522A9F">
        <w:t xml:space="preserve"> </w:t>
      </w:r>
      <w:proofErr w:type="spellStart"/>
      <w:r w:rsidRPr="00522A9F">
        <w:t>recursos</w:t>
      </w:r>
      <w:proofErr w:type="spellEnd"/>
      <w:r w:rsidRPr="00522A9F">
        <w:t xml:space="preserve"> </w:t>
      </w:r>
      <w:proofErr w:type="spellStart"/>
      <w:r w:rsidRPr="00522A9F">
        <w:t>del</w:t>
      </w:r>
      <w:proofErr w:type="spellEnd"/>
      <w:r w:rsidRPr="00522A9F">
        <w:t xml:space="preserve"> </w:t>
      </w:r>
      <w:proofErr w:type="spellStart"/>
      <w:r w:rsidRPr="00522A9F">
        <w:t>gobierno</w:t>
      </w:r>
      <w:proofErr w:type="spellEnd"/>
      <w:r w:rsidRPr="00522A9F">
        <w:t xml:space="preserve"> central y de </w:t>
      </w:r>
      <w:proofErr w:type="spellStart"/>
      <w:r w:rsidRPr="00522A9F">
        <w:t>otras</w:t>
      </w:r>
      <w:proofErr w:type="spellEnd"/>
      <w:r w:rsidRPr="00522A9F">
        <w:t xml:space="preserve"> </w:t>
      </w:r>
      <w:proofErr w:type="spellStart"/>
      <w:r w:rsidRPr="00522A9F">
        <w:t>fuentes</w:t>
      </w:r>
      <w:proofErr w:type="spellEnd"/>
      <w:r>
        <w:t xml:space="preserve">. </w:t>
      </w:r>
      <w:proofErr w:type="spellStart"/>
      <w:r w:rsidRPr="00522A9F">
        <w:t>Afectan</w:t>
      </w:r>
      <w:proofErr w:type="spellEnd"/>
      <w:r w:rsidRPr="00522A9F">
        <w:t xml:space="preserve"> </w:t>
      </w:r>
      <w:r>
        <w:t xml:space="preserve">no </w:t>
      </w:r>
      <w:proofErr w:type="spellStart"/>
      <w:r>
        <w:t>obstante</w:t>
      </w:r>
      <w:proofErr w:type="spellEnd"/>
      <w:r w:rsidRPr="00522A9F">
        <w:t xml:space="preserve"> </w:t>
      </w:r>
      <w:proofErr w:type="spellStart"/>
      <w:r w:rsidRPr="00522A9F">
        <w:t>factores</w:t>
      </w:r>
      <w:proofErr w:type="spellEnd"/>
      <w:r w:rsidRPr="00522A9F">
        <w:t xml:space="preserve"> </w:t>
      </w:r>
      <w:proofErr w:type="spellStart"/>
      <w:r w:rsidRPr="00522A9F">
        <w:t>adversos</w:t>
      </w:r>
      <w:proofErr w:type="spellEnd"/>
      <w:r w:rsidRPr="00522A9F">
        <w:t xml:space="preserve"> que </w:t>
      </w:r>
      <w:proofErr w:type="spellStart"/>
      <w:r w:rsidRPr="00522A9F">
        <w:t>limitan</w:t>
      </w:r>
      <w:proofErr w:type="spellEnd"/>
      <w:r w:rsidRPr="00522A9F">
        <w:t xml:space="preserve"> la </w:t>
      </w:r>
      <w:proofErr w:type="spellStart"/>
      <w:r w:rsidRPr="00522A9F">
        <w:t>contribución</w:t>
      </w:r>
      <w:proofErr w:type="spellEnd"/>
      <w:r w:rsidRPr="00522A9F">
        <w:t xml:space="preserve"> de las MD</w:t>
      </w:r>
      <w:r>
        <w:t xml:space="preserve">, sobre </w:t>
      </w:r>
      <w:proofErr w:type="spellStart"/>
      <w:r>
        <w:t>todo</w:t>
      </w:r>
      <w:proofErr w:type="spellEnd"/>
      <w:r>
        <w:t xml:space="preserve"> </w:t>
      </w:r>
      <w:proofErr w:type="spellStart"/>
      <w:r>
        <w:t>por</w:t>
      </w:r>
      <w:proofErr w:type="spellEnd"/>
      <w:r>
        <w:t xml:space="preserve"> sus </w:t>
      </w:r>
      <w:proofErr w:type="spellStart"/>
      <w:r>
        <w:t>magros</w:t>
      </w:r>
      <w:proofErr w:type="spellEnd"/>
      <w:r>
        <w:t xml:space="preserve"> </w:t>
      </w:r>
      <w:proofErr w:type="spellStart"/>
      <w:r>
        <w:t>recursos</w:t>
      </w:r>
      <w:proofErr w:type="spellEnd"/>
      <w:r>
        <w:t xml:space="preserve"> y </w:t>
      </w:r>
      <w:proofErr w:type="spellStart"/>
      <w:r>
        <w:t>capacidades</w:t>
      </w:r>
      <w:proofErr w:type="spellEnd"/>
      <w:r>
        <w:t xml:space="preserve"> </w:t>
      </w:r>
      <w:proofErr w:type="spellStart"/>
      <w:r>
        <w:t>técnicas</w:t>
      </w:r>
      <w:proofErr w:type="spellEnd"/>
      <w:r>
        <w:t xml:space="preserve">. Una </w:t>
      </w:r>
      <w:proofErr w:type="spellStart"/>
      <w:r>
        <w:t>perspectiva</w:t>
      </w:r>
      <w:proofErr w:type="spellEnd"/>
      <w:r>
        <w:t xml:space="preserve"> </w:t>
      </w:r>
      <w:proofErr w:type="spellStart"/>
      <w:r>
        <w:t>externa</w:t>
      </w:r>
      <w:proofErr w:type="spellEnd"/>
      <w:r>
        <w:t xml:space="preserve"> de </w:t>
      </w:r>
      <w:proofErr w:type="spellStart"/>
      <w:r w:rsidRPr="00813DF8">
        <w:t>sostenibilidad</w:t>
      </w:r>
      <w:proofErr w:type="spellEnd"/>
      <w:r w:rsidRPr="00813DF8">
        <w:t xml:space="preserve"> </w:t>
      </w:r>
      <w:proofErr w:type="spellStart"/>
      <w:r w:rsidRPr="00813DF8">
        <w:t>refuerza</w:t>
      </w:r>
      <w:proofErr w:type="spellEnd"/>
      <w:r w:rsidRPr="00813DF8">
        <w:t xml:space="preserve"> </w:t>
      </w:r>
      <w:proofErr w:type="spellStart"/>
      <w:r w:rsidRPr="00813DF8">
        <w:t>algunos</w:t>
      </w:r>
      <w:proofErr w:type="spellEnd"/>
      <w:r w:rsidRPr="00813DF8">
        <w:t xml:space="preserve"> </w:t>
      </w:r>
      <w:proofErr w:type="spellStart"/>
      <w:r w:rsidRPr="00813DF8">
        <w:t>procesos</w:t>
      </w:r>
      <w:proofErr w:type="spellEnd"/>
      <w:r w:rsidRPr="00813DF8">
        <w:t xml:space="preserve">, </w:t>
      </w:r>
      <w:proofErr w:type="spellStart"/>
      <w:r w:rsidRPr="00813DF8">
        <w:t>mediante</w:t>
      </w:r>
      <w:proofErr w:type="spellEnd"/>
      <w:r w:rsidRPr="00813DF8">
        <w:t xml:space="preserve"> la </w:t>
      </w:r>
      <w:proofErr w:type="spellStart"/>
      <w:r w:rsidRPr="00813DF8">
        <w:t>vinculación</w:t>
      </w:r>
      <w:proofErr w:type="spellEnd"/>
      <w:r w:rsidRPr="00813DF8">
        <w:t xml:space="preserve"> a </w:t>
      </w:r>
      <w:proofErr w:type="spellStart"/>
      <w:r w:rsidRPr="00813DF8">
        <w:t>instituciones</w:t>
      </w:r>
      <w:proofErr w:type="spellEnd"/>
      <w:r w:rsidRPr="00813DF8">
        <w:t xml:space="preserve"> de </w:t>
      </w:r>
      <w:proofErr w:type="spellStart"/>
      <w:r w:rsidRPr="00813DF8">
        <w:t>otros</w:t>
      </w:r>
      <w:proofErr w:type="spellEnd"/>
      <w:r w:rsidRPr="00813DF8">
        <w:t xml:space="preserve"> </w:t>
      </w:r>
      <w:proofErr w:type="spellStart"/>
      <w:r w:rsidRPr="00813DF8">
        <w:t>sectores</w:t>
      </w:r>
      <w:proofErr w:type="spellEnd"/>
      <w:r w:rsidRPr="00813DF8">
        <w:t xml:space="preserve">, y la </w:t>
      </w:r>
      <w:proofErr w:type="spellStart"/>
      <w:r w:rsidRPr="00813DF8">
        <w:t>posibilidad</w:t>
      </w:r>
      <w:proofErr w:type="spellEnd"/>
      <w:r w:rsidRPr="00813DF8">
        <w:t xml:space="preserve"> de </w:t>
      </w:r>
      <w:proofErr w:type="spellStart"/>
      <w:r w:rsidRPr="00813DF8">
        <w:t>recibir</w:t>
      </w:r>
      <w:proofErr w:type="spellEnd"/>
      <w:r w:rsidRPr="00813DF8">
        <w:t xml:space="preserve"> </w:t>
      </w:r>
      <w:proofErr w:type="spellStart"/>
      <w:r w:rsidRPr="00813DF8">
        <w:t>otros</w:t>
      </w:r>
      <w:proofErr w:type="spellEnd"/>
      <w:r w:rsidRPr="00813DF8">
        <w:t xml:space="preserve"> </w:t>
      </w:r>
      <w:proofErr w:type="spellStart"/>
      <w:r w:rsidRPr="00813DF8">
        <w:t>apoyos</w:t>
      </w:r>
      <w:proofErr w:type="spellEnd"/>
      <w:r w:rsidRPr="00813DF8">
        <w:t xml:space="preserve">, </w:t>
      </w:r>
      <w:proofErr w:type="spellStart"/>
      <w:r w:rsidRPr="00813DF8">
        <w:t>por</w:t>
      </w:r>
      <w:proofErr w:type="spellEnd"/>
      <w:r w:rsidRPr="00813DF8">
        <w:t xml:space="preserve"> </w:t>
      </w:r>
      <w:proofErr w:type="spellStart"/>
      <w:r w:rsidRPr="00813DF8">
        <w:t>ejemplo</w:t>
      </w:r>
      <w:proofErr w:type="spellEnd"/>
      <w:r w:rsidRPr="00813DF8">
        <w:t xml:space="preserve"> en el </w:t>
      </w:r>
      <w:proofErr w:type="spellStart"/>
      <w:r w:rsidRPr="00813DF8">
        <w:t>caso</w:t>
      </w:r>
      <w:proofErr w:type="spellEnd"/>
      <w:r w:rsidRPr="00813DF8">
        <w:t xml:space="preserve"> de la ZABD de Apurímac con la FAO.</w:t>
      </w:r>
    </w:p>
    <w:p w14:paraId="20B7CD7C" w14:textId="77777777" w:rsidR="000A0A8E" w:rsidRPr="000A0A8E" w:rsidRDefault="000A0A8E" w:rsidP="000A0A8E">
      <w:pPr>
        <w:spacing w:after="100"/>
      </w:pPr>
    </w:p>
    <w:p w14:paraId="4652D0CF" w14:textId="77777777" w:rsidR="000A0A8E" w:rsidRPr="000A0A8E" w:rsidRDefault="000A0A8E" w:rsidP="000A0A8E">
      <w:pPr>
        <w:spacing w:after="100"/>
        <w:rPr>
          <w:b/>
          <w:i/>
          <w:color w:val="404040"/>
        </w:rPr>
      </w:pPr>
      <w:proofErr w:type="spellStart"/>
      <w:r w:rsidRPr="000A0A8E">
        <w:rPr>
          <w:b/>
          <w:i/>
          <w:color w:val="404040"/>
        </w:rPr>
        <w:t>Conclusiones</w:t>
      </w:r>
      <w:proofErr w:type="spellEnd"/>
      <w:r w:rsidRPr="000A0A8E">
        <w:rPr>
          <w:b/>
          <w:i/>
          <w:color w:val="404040"/>
        </w:rPr>
        <w:t xml:space="preserve"> </w:t>
      </w:r>
      <w:proofErr w:type="spellStart"/>
      <w:r w:rsidRPr="000A0A8E">
        <w:rPr>
          <w:b/>
          <w:i/>
          <w:color w:val="404040"/>
        </w:rPr>
        <w:t>generales</w:t>
      </w:r>
      <w:proofErr w:type="spellEnd"/>
      <w:r w:rsidRPr="000A0A8E">
        <w:rPr>
          <w:b/>
          <w:i/>
          <w:color w:val="404040"/>
        </w:rPr>
        <w:t xml:space="preserve"> de la EF</w:t>
      </w:r>
    </w:p>
    <w:p w14:paraId="722168F7" w14:textId="77777777" w:rsidR="000A0A8E" w:rsidRDefault="000A0A8E" w:rsidP="000A0A8E">
      <w:pPr>
        <w:numPr>
          <w:ilvl w:val="0"/>
          <w:numId w:val="16"/>
        </w:numPr>
        <w:spacing w:after="100" w:line="240" w:lineRule="auto"/>
        <w:ind w:left="357" w:hanging="357"/>
        <w:jc w:val="both"/>
      </w:pPr>
      <w:r w:rsidRPr="00EE76E2">
        <w:t xml:space="preserve">Si bien </w:t>
      </w:r>
      <w:proofErr w:type="spellStart"/>
      <w:r w:rsidRPr="00EE76E2">
        <w:t>existió</w:t>
      </w:r>
      <w:proofErr w:type="spellEnd"/>
      <w:r w:rsidRPr="00EE76E2">
        <w:t xml:space="preserve"> </w:t>
      </w:r>
      <w:proofErr w:type="spellStart"/>
      <w:r w:rsidRPr="00EE76E2">
        <w:t>voluntad</w:t>
      </w:r>
      <w:proofErr w:type="spellEnd"/>
      <w:r w:rsidRPr="00EE76E2">
        <w:t xml:space="preserve">, sobre </w:t>
      </w:r>
      <w:proofErr w:type="spellStart"/>
      <w:r w:rsidRPr="00EE76E2">
        <w:t>todo</w:t>
      </w:r>
      <w:proofErr w:type="spellEnd"/>
      <w:r w:rsidRPr="00EE76E2">
        <w:t xml:space="preserve"> a partir </w:t>
      </w:r>
      <w:proofErr w:type="spellStart"/>
      <w:r w:rsidRPr="00EE76E2">
        <w:t>del</w:t>
      </w:r>
      <w:proofErr w:type="spellEnd"/>
      <w:r w:rsidRPr="00EE76E2">
        <w:t xml:space="preserve"> 201</w:t>
      </w:r>
      <w:r>
        <w:t>6</w:t>
      </w:r>
      <w:r w:rsidRPr="00EE76E2">
        <w:t xml:space="preserve">, </w:t>
      </w:r>
      <w:proofErr w:type="spellStart"/>
      <w:r w:rsidRPr="00EE76E2">
        <w:t>por</w:t>
      </w:r>
      <w:proofErr w:type="spellEnd"/>
      <w:r w:rsidRPr="00EE76E2">
        <w:t xml:space="preserve"> </w:t>
      </w:r>
      <w:proofErr w:type="spellStart"/>
      <w:r w:rsidRPr="00EE76E2">
        <w:t>realizar</w:t>
      </w:r>
      <w:proofErr w:type="spellEnd"/>
      <w:r w:rsidRPr="00EE76E2">
        <w:t xml:space="preserve"> avances en la </w:t>
      </w:r>
      <w:proofErr w:type="spellStart"/>
      <w:r w:rsidRPr="00EE76E2">
        <w:t>incorporación</w:t>
      </w:r>
      <w:proofErr w:type="spellEnd"/>
      <w:r w:rsidRPr="00EE76E2">
        <w:t xml:space="preserve"> </w:t>
      </w:r>
      <w:proofErr w:type="spellStart"/>
      <w:r w:rsidRPr="00EE76E2">
        <w:t>del</w:t>
      </w:r>
      <w:proofErr w:type="spellEnd"/>
      <w:r w:rsidRPr="00EE76E2">
        <w:t xml:space="preserve"> </w:t>
      </w:r>
      <w:proofErr w:type="spellStart"/>
      <w:r w:rsidRPr="00EE76E2">
        <w:t>enfoque</w:t>
      </w:r>
      <w:proofErr w:type="spellEnd"/>
      <w:r>
        <w:t xml:space="preserve"> de </w:t>
      </w:r>
      <w:proofErr w:type="spellStart"/>
      <w:r>
        <w:t>género</w:t>
      </w:r>
      <w:proofErr w:type="spellEnd"/>
      <w:r w:rsidRPr="00EE76E2">
        <w:t xml:space="preserve"> en el </w:t>
      </w:r>
      <w:proofErr w:type="spellStart"/>
      <w:r w:rsidRPr="00EE76E2">
        <w:t>proyecto</w:t>
      </w:r>
      <w:proofErr w:type="spellEnd"/>
      <w:r w:rsidRPr="00EE76E2">
        <w:t xml:space="preserve"> y </w:t>
      </w:r>
      <w:proofErr w:type="spellStart"/>
      <w:r w:rsidRPr="00EE76E2">
        <w:t>facilitar</w:t>
      </w:r>
      <w:proofErr w:type="spellEnd"/>
      <w:r w:rsidRPr="00EE76E2">
        <w:t xml:space="preserve"> la </w:t>
      </w:r>
      <w:proofErr w:type="spellStart"/>
      <w:r w:rsidRPr="00EE76E2">
        <w:t>participación</w:t>
      </w:r>
      <w:proofErr w:type="spellEnd"/>
      <w:r w:rsidRPr="00EE76E2">
        <w:t xml:space="preserve"> de </w:t>
      </w:r>
      <w:proofErr w:type="spellStart"/>
      <w:r w:rsidRPr="00EE76E2">
        <w:t>mujeres</w:t>
      </w:r>
      <w:proofErr w:type="spellEnd"/>
      <w:r w:rsidRPr="00EE76E2">
        <w:t xml:space="preserve"> en las </w:t>
      </w:r>
      <w:proofErr w:type="spellStart"/>
      <w:r>
        <w:t>actividades</w:t>
      </w:r>
      <w:proofErr w:type="spellEnd"/>
      <w:r>
        <w:t xml:space="preserve"> </w:t>
      </w:r>
      <w:proofErr w:type="spellStart"/>
      <w:r>
        <w:t>productivas</w:t>
      </w:r>
      <w:proofErr w:type="spellEnd"/>
      <w:r>
        <w:t xml:space="preserve">, no se </w:t>
      </w:r>
      <w:proofErr w:type="spellStart"/>
      <w:r w:rsidRPr="000A0A8E">
        <w:t>asumió</w:t>
      </w:r>
      <w:proofErr w:type="spellEnd"/>
      <w:r w:rsidRPr="00EE76E2">
        <w:t xml:space="preserve"> </w:t>
      </w:r>
      <w:proofErr w:type="spellStart"/>
      <w:r w:rsidRPr="00EE76E2">
        <w:t>una</w:t>
      </w:r>
      <w:proofErr w:type="spellEnd"/>
      <w:r w:rsidRPr="00EE76E2">
        <w:t xml:space="preserve"> </w:t>
      </w:r>
      <w:proofErr w:type="spellStart"/>
      <w:r w:rsidRPr="00EE76E2">
        <w:t>implementación</w:t>
      </w:r>
      <w:proofErr w:type="spellEnd"/>
      <w:r w:rsidRPr="00EE76E2">
        <w:t xml:space="preserve"> </w:t>
      </w:r>
      <w:proofErr w:type="spellStart"/>
      <w:r w:rsidRPr="00EE76E2">
        <w:t>eficaz</w:t>
      </w:r>
      <w:proofErr w:type="spellEnd"/>
      <w:r w:rsidRPr="00EE76E2">
        <w:t xml:space="preserve"> y </w:t>
      </w:r>
      <w:proofErr w:type="spellStart"/>
      <w:r w:rsidRPr="00EE76E2">
        <w:t>consistente</w:t>
      </w:r>
      <w:proofErr w:type="spellEnd"/>
      <w:r w:rsidRPr="00EE76E2">
        <w:t xml:space="preserve">. </w:t>
      </w:r>
      <w:proofErr w:type="spellStart"/>
      <w:r w:rsidRPr="00EE76E2">
        <w:t>Incorporar</w:t>
      </w:r>
      <w:proofErr w:type="spellEnd"/>
      <w:r w:rsidRPr="00EE76E2">
        <w:t xml:space="preserve"> un </w:t>
      </w:r>
      <w:proofErr w:type="spellStart"/>
      <w:r w:rsidRPr="00EE76E2">
        <w:t>enfoque</w:t>
      </w:r>
      <w:proofErr w:type="spellEnd"/>
      <w:r w:rsidRPr="00EE76E2">
        <w:t xml:space="preserve"> de este </w:t>
      </w:r>
      <w:proofErr w:type="spellStart"/>
      <w:r w:rsidRPr="00EE76E2">
        <w:t>tipo</w:t>
      </w:r>
      <w:proofErr w:type="spellEnd"/>
      <w:r w:rsidRPr="00EE76E2">
        <w:t xml:space="preserve"> en un </w:t>
      </w:r>
      <w:proofErr w:type="spellStart"/>
      <w:r w:rsidRPr="00EE76E2">
        <w:t>proyecto</w:t>
      </w:r>
      <w:proofErr w:type="spellEnd"/>
      <w:r w:rsidRPr="00EE76E2">
        <w:t xml:space="preserve"> o </w:t>
      </w:r>
      <w:proofErr w:type="spellStart"/>
      <w:r w:rsidRPr="00EE76E2">
        <w:t>institución</w:t>
      </w:r>
      <w:proofErr w:type="spellEnd"/>
      <w:r w:rsidRPr="00EE76E2">
        <w:t xml:space="preserve"> </w:t>
      </w:r>
      <w:proofErr w:type="spellStart"/>
      <w:r w:rsidRPr="00EE76E2">
        <w:t>requiere</w:t>
      </w:r>
      <w:proofErr w:type="spellEnd"/>
      <w:r w:rsidRPr="00EE76E2">
        <w:t xml:space="preserve"> </w:t>
      </w:r>
      <w:proofErr w:type="spellStart"/>
      <w:r w:rsidRPr="00EE76E2">
        <w:t>nuevos</w:t>
      </w:r>
      <w:proofErr w:type="spellEnd"/>
      <w:r w:rsidRPr="00EE76E2">
        <w:t xml:space="preserve"> </w:t>
      </w:r>
      <w:proofErr w:type="spellStart"/>
      <w:r w:rsidRPr="00EE76E2">
        <w:t>esquemas</w:t>
      </w:r>
      <w:proofErr w:type="spellEnd"/>
      <w:r w:rsidRPr="00EE76E2">
        <w:t xml:space="preserve"> de </w:t>
      </w:r>
      <w:proofErr w:type="spellStart"/>
      <w:r w:rsidRPr="00EE76E2">
        <w:t>pensamiento</w:t>
      </w:r>
      <w:proofErr w:type="spellEnd"/>
      <w:r w:rsidRPr="00EE76E2">
        <w:t xml:space="preserve">, </w:t>
      </w:r>
      <w:proofErr w:type="spellStart"/>
      <w:r w:rsidRPr="00EE76E2">
        <w:t>diseñar</w:t>
      </w:r>
      <w:proofErr w:type="spellEnd"/>
      <w:r w:rsidRPr="00EE76E2">
        <w:t xml:space="preserve"> un plan </w:t>
      </w:r>
      <w:proofErr w:type="spellStart"/>
      <w:r w:rsidRPr="00EE76E2">
        <w:t>estratégico</w:t>
      </w:r>
      <w:proofErr w:type="spellEnd"/>
      <w:r w:rsidRPr="00EE76E2">
        <w:t xml:space="preserve"> </w:t>
      </w:r>
      <w:proofErr w:type="spellStart"/>
      <w:r w:rsidRPr="00EE76E2">
        <w:t>adaptado</w:t>
      </w:r>
      <w:proofErr w:type="spellEnd"/>
      <w:r w:rsidRPr="00EE76E2">
        <w:t xml:space="preserve">, </w:t>
      </w:r>
      <w:proofErr w:type="spellStart"/>
      <w:r w:rsidRPr="00EE76E2">
        <w:t>lo</w:t>
      </w:r>
      <w:proofErr w:type="spellEnd"/>
      <w:r w:rsidRPr="00EE76E2">
        <w:t xml:space="preserve"> </w:t>
      </w:r>
      <w:proofErr w:type="spellStart"/>
      <w:r w:rsidRPr="00EE76E2">
        <w:t>cual</w:t>
      </w:r>
      <w:proofErr w:type="spellEnd"/>
      <w:r w:rsidRPr="00EE76E2">
        <w:t xml:space="preserve"> </w:t>
      </w:r>
      <w:proofErr w:type="spellStart"/>
      <w:r w:rsidRPr="00EE76E2">
        <w:t>implica</w:t>
      </w:r>
      <w:proofErr w:type="spellEnd"/>
      <w:r w:rsidRPr="00EE76E2">
        <w:t xml:space="preserve"> </w:t>
      </w:r>
      <w:proofErr w:type="spellStart"/>
      <w:r w:rsidRPr="00EE76E2">
        <w:t>recursos</w:t>
      </w:r>
      <w:proofErr w:type="spellEnd"/>
      <w:r w:rsidRPr="00EE76E2">
        <w:t xml:space="preserve"> </w:t>
      </w:r>
      <w:proofErr w:type="spellStart"/>
      <w:r w:rsidRPr="00EE76E2">
        <w:t>humanos</w:t>
      </w:r>
      <w:proofErr w:type="spellEnd"/>
      <w:r w:rsidRPr="00EE76E2">
        <w:t xml:space="preserve">, </w:t>
      </w:r>
      <w:proofErr w:type="spellStart"/>
      <w:r w:rsidRPr="00EE76E2">
        <w:t>materiales</w:t>
      </w:r>
      <w:proofErr w:type="spellEnd"/>
      <w:r w:rsidRPr="00EE76E2">
        <w:t xml:space="preserve"> y temporales </w:t>
      </w:r>
      <w:proofErr w:type="spellStart"/>
      <w:r w:rsidRPr="00EE76E2">
        <w:t>específicos</w:t>
      </w:r>
      <w:proofErr w:type="spellEnd"/>
      <w:r w:rsidRPr="00EE76E2">
        <w:t xml:space="preserve">, </w:t>
      </w:r>
      <w:proofErr w:type="spellStart"/>
      <w:r w:rsidRPr="00EE76E2">
        <w:t>además</w:t>
      </w:r>
      <w:proofErr w:type="spellEnd"/>
      <w:r w:rsidRPr="00EE76E2">
        <w:t xml:space="preserve"> de </w:t>
      </w:r>
      <w:proofErr w:type="spellStart"/>
      <w:r w:rsidRPr="00EE76E2">
        <w:t>asesoría</w:t>
      </w:r>
      <w:proofErr w:type="spellEnd"/>
      <w:r w:rsidRPr="00EE76E2">
        <w:t xml:space="preserve"> </w:t>
      </w:r>
      <w:proofErr w:type="spellStart"/>
      <w:r w:rsidRPr="00EE76E2">
        <w:t>especializada</w:t>
      </w:r>
      <w:proofErr w:type="spellEnd"/>
      <w:r w:rsidRPr="00EE76E2">
        <w:t xml:space="preserve">  en </w:t>
      </w:r>
      <w:proofErr w:type="spellStart"/>
      <w:r w:rsidRPr="00EE76E2">
        <w:t>políticas</w:t>
      </w:r>
      <w:proofErr w:type="spellEnd"/>
      <w:r w:rsidRPr="00EE76E2">
        <w:t xml:space="preserve"> de </w:t>
      </w:r>
      <w:proofErr w:type="spellStart"/>
      <w:r w:rsidRPr="00EE76E2">
        <w:t>igualdad</w:t>
      </w:r>
      <w:proofErr w:type="spellEnd"/>
      <w:r w:rsidRPr="00EE76E2">
        <w:t xml:space="preserve"> y </w:t>
      </w:r>
      <w:proofErr w:type="spellStart"/>
      <w:r w:rsidRPr="00EE76E2">
        <w:t>género</w:t>
      </w:r>
      <w:proofErr w:type="spellEnd"/>
      <w:r w:rsidRPr="00EE76E2">
        <w:t xml:space="preserve"> (</w:t>
      </w:r>
      <w:proofErr w:type="spellStart"/>
      <w:r w:rsidRPr="00EE76E2">
        <w:t>personas</w:t>
      </w:r>
      <w:proofErr w:type="spellEnd"/>
      <w:r w:rsidRPr="00EE76E2">
        <w:t xml:space="preserve"> </w:t>
      </w:r>
      <w:proofErr w:type="spellStart"/>
      <w:r w:rsidRPr="00EE76E2">
        <w:t>expertas</w:t>
      </w:r>
      <w:proofErr w:type="spellEnd"/>
      <w:r w:rsidRPr="00EE76E2">
        <w:t xml:space="preserve">, </w:t>
      </w:r>
      <w:proofErr w:type="spellStart"/>
      <w:r w:rsidRPr="00EE76E2">
        <w:t>equipos</w:t>
      </w:r>
      <w:proofErr w:type="spellEnd"/>
      <w:r w:rsidRPr="00EE76E2">
        <w:t xml:space="preserve">, </w:t>
      </w:r>
      <w:proofErr w:type="spellStart"/>
      <w:r w:rsidRPr="00EE76E2">
        <w:t>asesores</w:t>
      </w:r>
      <w:proofErr w:type="spellEnd"/>
      <w:r w:rsidRPr="00EE76E2">
        <w:t xml:space="preserve">) </w:t>
      </w:r>
      <w:proofErr w:type="spellStart"/>
      <w:r w:rsidRPr="00EE76E2">
        <w:t>internos</w:t>
      </w:r>
      <w:proofErr w:type="spellEnd"/>
      <w:r w:rsidRPr="00EE76E2">
        <w:t xml:space="preserve">, </w:t>
      </w:r>
      <w:proofErr w:type="spellStart"/>
      <w:r w:rsidRPr="00EE76E2">
        <w:t>así</w:t>
      </w:r>
      <w:proofErr w:type="spellEnd"/>
      <w:r w:rsidRPr="00EE76E2">
        <w:t xml:space="preserve"> </w:t>
      </w:r>
      <w:proofErr w:type="spellStart"/>
      <w:r w:rsidRPr="00EE76E2">
        <w:t>como</w:t>
      </w:r>
      <w:proofErr w:type="spellEnd"/>
      <w:r w:rsidRPr="00EE76E2">
        <w:t xml:space="preserve"> </w:t>
      </w:r>
      <w:proofErr w:type="spellStart"/>
      <w:r w:rsidRPr="00EE76E2">
        <w:t>asesorías</w:t>
      </w:r>
      <w:proofErr w:type="spellEnd"/>
      <w:r w:rsidRPr="00EE76E2">
        <w:t xml:space="preserve"> </w:t>
      </w:r>
      <w:proofErr w:type="spellStart"/>
      <w:r w:rsidRPr="00EE76E2">
        <w:t>externas</w:t>
      </w:r>
      <w:proofErr w:type="spellEnd"/>
      <w:r w:rsidRPr="00EE76E2">
        <w:t>).</w:t>
      </w:r>
      <w:r>
        <w:t xml:space="preserve"> La </w:t>
      </w:r>
      <w:proofErr w:type="spellStart"/>
      <w:r>
        <w:t>falta</w:t>
      </w:r>
      <w:proofErr w:type="spellEnd"/>
      <w:r>
        <w:t xml:space="preserve"> de </w:t>
      </w:r>
      <w:proofErr w:type="spellStart"/>
      <w:r>
        <w:t>priorización</w:t>
      </w:r>
      <w:proofErr w:type="spellEnd"/>
      <w:r>
        <w:t xml:space="preserve"> en el </w:t>
      </w:r>
      <w:proofErr w:type="spellStart"/>
      <w:r>
        <w:t>diseño</w:t>
      </w:r>
      <w:proofErr w:type="spellEnd"/>
      <w:r>
        <w:t xml:space="preserve"> y en la </w:t>
      </w:r>
      <w:proofErr w:type="spellStart"/>
      <w:r>
        <w:t>asignación</w:t>
      </w:r>
      <w:proofErr w:type="spellEnd"/>
      <w:r>
        <w:t xml:space="preserve"> de </w:t>
      </w:r>
      <w:proofErr w:type="spellStart"/>
      <w:r>
        <w:t>recursos</w:t>
      </w:r>
      <w:proofErr w:type="spellEnd"/>
      <w:r>
        <w:t xml:space="preserve"> </w:t>
      </w:r>
      <w:proofErr w:type="spellStart"/>
      <w:r>
        <w:t>revela</w:t>
      </w:r>
      <w:proofErr w:type="spellEnd"/>
      <w:r>
        <w:t xml:space="preserve"> la </w:t>
      </w:r>
      <w:proofErr w:type="spellStart"/>
      <w:r>
        <w:t>poca</w:t>
      </w:r>
      <w:proofErr w:type="spellEnd"/>
      <w:r>
        <w:t xml:space="preserve"> </w:t>
      </w:r>
      <w:proofErr w:type="spellStart"/>
      <w:r>
        <w:t>importancia</w:t>
      </w:r>
      <w:proofErr w:type="spellEnd"/>
      <w:r>
        <w:t xml:space="preserve"> </w:t>
      </w:r>
      <w:proofErr w:type="spellStart"/>
      <w:r>
        <w:t>atribuida</w:t>
      </w:r>
      <w:proofErr w:type="spellEnd"/>
      <w:r>
        <w:t xml:space="preserve"> a este </w:t>
      </w:r>
      <w:proofErr w:type="spellStart"/>
      <w:r>
        <w:t>enfoque</w:t>
      </w:r>
      <w:proofErr w:type="spellEnd"/>
      <w:r>
        <w:t xml:space="preserve">.  </w:t>
      </w:r>
    </w:p>
    <w:p w14:paraId="06C4CEC9" w14:textId="77777777" w:rsidR="000A0A8E" w:rsidRDefault="000A0A8E" w:rsidP="000A0A8E">
      <w:pPr>
        <w:numPr>
          <w:ilvl w:val="0"/>
          <w:numId w:val="16"/>
        </w:numPr>
        <w:spacing w:after="100" w:line="240" w:lineRule="auto"/>
        <w:ind w:left="357" w:hanging="357"/>
        <w:jc w:val="both"/>
      </w:pPr>
      <w:r>
        <w:t xml:space="preserve">El </w:t>
      </w:r>
      <w:proofErr w:type="spellStart"/>
      <w:r>
        <w:t>trabajo</w:t>
      </w:r>
      <w:proofErr w:type="spellEnd"/>
      <w:r>
        <w:t xml:space="preserve"> </w:t>
      </w:r>
      <w:proofErr w:type="spellStart"/>
      <w:r>
        <w:t>coordinado</w:t>
      </w:r>
      <w:proofErr w:type="spellEnd"/>
      <w:r>
        <w:t xml:space="preserve"> de los AT </w:t>
      </w:r>
      <w:proofErr w:type="spellStart"/>
      <w:r>
        <w:t>del</w:t>
      </w:r>
      <w:proofErr w:type="spellEnd"/>
      <w:r>
        <w:t xml:space="preserve"> PRODERN, de los </w:t>
      </w:r>
      <w:proofErr w:type="spellStart"/>
      <w:r>
        <w:t>consultores</w:t>
      </w:r>
      <w:proofErr w:type="spellEnd"/>
      <w:r>
        <w:t xml:space="preserve">, de los </w:t>
      </w:r>
      <w:proofErr w:type="spellStart"/>
      <w:r>
        <w:t>profesionales</w:t>
      </w:r>
      <w:proofErr w:type="spellEnd"/>
      <w:r>
        <w:t xml:space="preserve"> de los </w:t>
      </w:r>
      <w:proofErr w:type="spellStart"/>
      <w:r>
        <w:t>operadores</w:t>
      </w:r>
      <w:proofErr w:type="spellEnd"/>
      <w:r>
        <w:t xml:space="preserve"> </w:t>
      </w:r>
      <w:proofErr w:type="spellStart"/>
      <w:r>
        <w:t>del</w:t>
      </w:r>
      <w:proofErr w:type="spellEnd"/>
      <w:r>
        <w:t xml:space="preserve"> FC con las </w:t>
      </w:r>
      <w:proofErr w:type="spellStart"/>
      <w:r>
        <w:t>comunidades</w:t>
      </w:r>
      <w:proofErr w:type="spellEnd"/>
      <w:r>
        <w:t xml:space="preserve"> </w:t>
      </w:r>
      <w:proofErr w:type="spellStart"/>
      <w:r>
        <w:t>campesinas</w:t>
      </w:r>
      <w:proofErr w:type="spellEnd"/>
      <w:r>
        <w:t xml:space="preserve"> o </w:t>
      </w:r>
      <w:proofErr w:type="spellStart"/>
      <w:r>
        <w:t>nativas</w:t>
      </w:r>
      <w:proofErr w:type="spellEnd"/>
      <w:r>
        <w:t xml:space="preserve"> </w:t>
      </w:r>
      <w:proofErr w:type="spellStart"/>
      <w:r>
        <w:t>implica</w:t>
      </w:r>
      <w:proofErr w:type="spellEnd"/>
      <w:r>
        <w:t xml:space="preserve"> </w:t>
      </w:r>
      <w:proofErr w:type="spellStart"/>
      <w:r>
        <w:t>una</w:t>
      </w:r>
      <w:proofErr w:type="spellEnd"/>
      <w:r>
        <w:t xml:space="preserve"> </w:t>
      </w:r>
      <w:proofErr w:type="spellStart"/>
      <w:r>
        <w:t>interculturalidad</w:t>
      </w:r>
      <w:proofErr w:type="spellEnd"/>
      <w:r>
        <w:t xml:space="preserve">, porque </w:t>
      </w:r>
      <w:proofErr w:type="spellStart"/>
      <w:r>
        <w:t>estos</w:t>
      </w:r>
      <w:proofErr w:type="spellEnd"/>
      <w:r>
        <w:t xml:space="preserve"> </w:t>
      </w:r>
      <w:proofErr w:type="spellStart"/>
      <w:r>
        <w:t>segmentos</w:t>
      </w:r>
      <w:proofErr w:type="spellEnd"/>
      <w:r>
        <w:t xml:space="preserve"> de la </w:t>
      </w:r>
      <w:proofErr w:type="spellStart"/>
      <w:r>
        <w:t>sociedad</w:t>
      </w:r>
      <w:proofErr w:type="spellEnd"/>
      <w:r>
        <w:t xml:space="preserve"> </w:t>
      </w:r>
      <w:proofErr w:type="spellStart"/>
      <w:r>
        <w:t>peruana</w:t>
      </w:r>
      <w:proofErr w:type="spellEnd"/>
      <w:r>
        <w:t xml:space="preserve"> </w:t>
      </w:r>
      <w:proofErr w:type="spellStart"/>
      <w:r>
        <w:t>tienen</w:t>
      </w:r>
      <w:proofErr w:type="spellEnd"/>
      <w:r>
        <w:t xml:space="preserve"> </w:t>
      </w:r>
      <w:proofErr w:type="spellStart"/>
      <w:r>
        <w:t>culturas</w:t>
      </w:r>
      <w:proofErr w:type="spellEnd"/>
      <w:r>
        <w:t xml:space="preserve"> </w:t>
      </w:r>
      <w:proofErr w:type="spellStart"/>
      <w:r>
        <w:t>propias</w:t>
      </w:r>
      <w:proofErr w:type="spellEnd"/>
      <w:r>
        <w:t xml:space="preserve">. Lo </w:t>
      </w:r>
      <w:proofErr w:type="spellStart"/>
      <w:r>
        <w:t>mismo</w:t>
      </w:r>
      <w:proofErr w:type="spellEnd"/>
      <w:r>
        <w:t xml:space="preserve"> </w:t>
      </w:r>
      <w:proofErr w:type="spellStart"/>
      <w:r>
        <w:t>sucede</w:t>
      </w:r>
      <w:proofErr w:type="spellEnd"/>
      <w:r>
        <w:t xml:space="preserve"> con los </w:t>
      </w:r>
      <w:proofErr w:type="spellStart"/>
      <w:r>
        <w:t>funcionarios</w:t>
      </w:r>
      <w:proofErr w:type="spellEnd"/>
      <w:r>
        <w:t xml:space="preserve"> y </w:t>
      </w:r>
      <w:proofErr w:type="spellStart"/>
      <w:r>
        <w:t>técnicos</w:t>
      </w:r>
      <w:proofErr w:type="spellEnd"/>
      <w:r>
        <w:t xml:space="preserve"> de los </w:t>
      </w:r>
      <w:proofErr w:type="spellStart"/>
      <w:r>
        <w:t>Gobiernos</w:t>
      </w:r>
      <w:proofErr w:type="spellEnd"/>
      <w:r>
        <w:t xml:space="preserve"> </w:t>
      </w:r>
      <w:proofErr w:type="spellStart"/>
      <w:r>
        <w:t>regionales</w:t>
      </w:r>
      <w:proofErr w:type="spellEnd"/>
      <w:r>
        <w:t xml:space="preserve">. Solo el </w:t>
      </w:r>
      <w:proofErr w:type="spellStart"/>
      <w:r>
        <w:t>personal</w:t>
      </w:r>
      <w:proofErr w:type="spellEnd"/>
      <w:r>
        <w:t xml:space="preserve"> de las MD </w:t>
      </w:r>
      <w:proofErr w:type="spellStart"/>
      <w:r>
        <w:t>suele</w:t>
      </w:r>
      <w:proofErr w:type="spellEnd"/>
      <w:r>
        <w:t xml:space="preserve"> no </w:t>
      </w:r>
      <w:proofErr w:type="spellStart"/>
      <w:r>
        <w:t>tener</w:t>
      </w:r>
      <w:proofErr w:type="spellEnd"/>
      <w:r>
        <w:t xml:space="preserve"> sensibles </w:t>
      </w:r>
      <w:proofErr w:type="spellStart"/>
      <w:r>
        <w:t>diferencias</w:t>
      </w:r>
      <w:proofErr w:type="spellEnd"/>
      <w:r>
        <w:t xml:space="preserve"> culturales con las </w:t>
      </w:r>
      <w:proofErr w:type="spellStart"/>
      <w:r>
        <w:t>comunidades</w:t>
      </w:r>
      <w:proofErr w:type="spellEnd"/>
      <w:r>
        <w:t xml:space="preserve">, </w:t>
      </w:r>
      <w:proofErr w:type="spellStart"/>
      <w:r>
        <w:t>aunque</w:t>
      </w:r>
      <w:proofErr w:type="spellEnd"/>
      <w:r>
        <w:t xml:space="preserve"> </w:t>
      </w:r>
      <w:proofErr w:type="spellStart"/>
      <w:r>
        <w:t>pueden</w:t>
      </w:r>
      <w:proofErr w:type="spellEnd"/>
      <w:r>
        <w:t xml:space="preserve"> </w:t>
      </w:r>
      <w:proofErr w:type="spellStart"/>
      <w:r>
        <w:t>manifestarse</w:t>
      </w:r>
      <w:proofErr w:type="spellEnd"/>
      <w:r>
        <w:t xml:space="preserve"> </w:t>
      </w:r>
      <w:proofErr w:type="spellStart"/>
      <w:r>
        <w:t>diferencias</w:t>
      </w:r>
      <w:proofErr w:type="spellEnd"/>
      <w:r>
        <w:t xml:space="preserve"> de </w:t>
      </w:r>
      <w:proofErr w:type="spellStart"/>
      <w:r>
        <w:t>visión</w:t>
      </w:r>
      <w:proofErr w:type="spellEnd"/>
      <w:r>
        <w:t xml:space="preserve"> entre los </w:t>
      </w:r>
      <w:proofErr w:type="spellStart"/>
      <w:r>
        <w:t>comunitarios</w:t>
      </w:r>
      <w:proofErr w:type="spellEnd"/>
      <w:r>
        <w:t xml:space="preserve"> y los habitantes de los </w:t>
      </w:r>
      <w:proofErr w:type="spellStart"/>
      <w:r>
        <w:t>centros</w:t>
      </w:r>
      <w:proofErr w:type="spellEnd"/>
      <w:r>
        <w:t xml:space="preserve"> </w:t>
      </w:r>
      <w:proofErr w:type="spellStart"/>
      <w:r>
        <w:t>poblados</w:t>
      </w:r>
      <w:proofErr w:type="spellEnd"/>
      <w:r>
        <w:t xml:space="preserve">, sobre </w:t>
      </w:r>
      <w:proofErr w:type="spellStart"/>
      <w:r>
        <w:t>todo</w:t>
      </w:r>
      <w:proofErr w:type="spellEnd"/>
      <w:r>
        <w:t xml:space="preserve"> </w:t>
      </w:r>
      <w:proofErr w:type="spellStart"/>
      <w:r>
        <w:t>cuando</w:t>
      </w:r>
      <w:proofErr w:type="spellEnd"/>
      <w:r>
        <w:t xml:space="preserve"> han </w:t>
      </w:r>
      <w:proofErr w:type="spellStart"/>
      <w:r>
        <w:t>adquirido</w:t>
      </w:r>
      <w:proofErr w:type="spellEnd"/>
      <w:r>
        <w:t xml:space="preserve"> un </w:t>
      </w:r>
      <w:proofErr w:type="spellStart"/>
      <w:r>
        <w:t>cierto</w:t>
      </w:r>
      <w:proofErr w:type="spellEnd"/>
      <w:r>
        <w:t xml:space="preserve"> </w:t>
      </w:r>
      <w:proofErr w:type="spellStart"/>
      <w:r>
        <w:t>nivel</w:t>
      </w:r>
      <w:proofErr w:type="spellEnd"/>
      <w:r>
        <w:t xml:space="preserve"> </w:t>
      </w:r>
      <w:proofErr w:type="spellStart"/>
      <w:r>
        <w:t>educativo</w:t>
      </w:r>
      <w:proofErr w:type="spellEnd"/>
      <w:r>
        <w:t xml:space="preserve">. Los ATN y GAR </w:t>
      </w:r>
      <w:proofErr w:type="spellStart"/>
      <w:r>
        <w:t>fueron</w:t>
      </w:r>
      <w:proofErr w:type="spellEnd"/>
      <w:r>
        <w:t xml:space="preserve"> </w:t>
      </w:r>
      <w:proofErr w:type="spellStart"/>
      <w:r>
        <w:t>seleccionados</w:t>
      </w:r>
      <w:proofErr w:type="spellEnd"/>
      <w:r>
        <w:t xml:space="preserve"> para </w:t>
      </w:r>
      <w:proofErr w:type="spellStart"/>
      <w:r>
        <w:t>tener</w:t>
      </w:r>
      <w:proofErr w:type="spellEnd"/>
      <w:r>
        <w:t xml:space="preserve"> un </w:t>
      </w:r>
      <w:proofErr w:type="spellStart"/>
      <w:r>
        <w:t>enfoque</w:t>
      </w:r>
      <w:proofErr w:type="spellEnd"/>
      <w:r>
        <w:t xml:space="preserve"> de </w:t>
      </w:r>
      <w:proofErr w:type="spellStart"/>
      <w:r>
        <w:t>interculturalidad</w:t>
      </w:r>
      <w:proofErr w:type="spellEnd"/>
      <w:r>
        <w:t xml:space="preserve"> </w:t>
      </w:r>
      <w:proofErr w:type="spellStart"/>
      <w:r>
        <w:t>abierto</w:t>
      </w:r>
      <w:proofErr w:type="spellEnd"/>
      <w:r>
        <w:t xml:space="preserve">, y </w:t>
      </w:r>
      <w:proofErr w:type="spellStart"/>
      <w:r>
        <w:t>por</w:t>
      </w:r>
      <w:proofErr w:type="spellEnd"/>
      <w:r>
        <w:t xml:space="preserve"> </w:t>
      </w:r>
      <w:proofErr w:type="spellStart"/>
      <w:r>
        <w:t>lo</w:t>
      </w:r>
      <w:proofErr w:type="spellEnd"/>
      <w:r>
        <w:t xml:space="preserve"> </w:t>
      </w:r>
      <w:proofErr w:type="spellStart"/>
      <w:r>
        <w:t>general</w:t>
      </w:r>
      <w:proofErr w:type="spellEnd"/>
      <w:r>
        <w:t xml:space="preserve"> </w:t>
      </w:r>
      <w:proofErr w:type="spellStart"/>
      <w:r>
        <w:t>lo</w:t>
      </w:r>
      <w:proofErr w:type="spellEnd"/>
      <w:r>
        <w:t xml:space="preserve"> </w:t>
      </w:r>
      <w:proofErr w:type="spellStart"/>
      <w:r>
        <w:t>tuvieron</w:t>
      </w:r>
      <w:proofErr w:type="spellEnd"/>
      <w:r>
        <w:t xml:space="preserve">, </w:t>
      </w:r>
      <w:proofErr w:type="spellStart"/>
      <w:r>
        <w:t>pero</w:t>
      </w:r>
      <w:proofErr w:type="spellEnd"/>
      <w:r>
        <w:t xml:space="preserve"> poco se ha </w:t>
      </w:r>
      <w:proofErr w:type="spellStart"/>
      <w:r>
        <w:t>racionalizado</w:t>
      </w:r>
      <w:proofErr w:type="spellEnd"/>
      <w:r>
        <w:t xml:space="preserve"> el </w:t>
      </w:r>
      <w:proofErr w:type="spellStart"/>
      <w:r>
        <w:t>tema</w:t>
      </w:r>
      <w:proofErr w:type="spellEnd"/>
      <w:r>
        <w:t xml:space="preserve"> </w:t>
      </w:r>
      <w:proofErr w:type="spellStart"/>
      <w:r>
        <w:t>dentro</w:t>
      </w:r>
      <w:proofErr w:type="spellEnd"/>
      <w:r>
        <w:t xml:space="preserve"> de los </w:t>
      </w:r>
      <w:proofErr w:type="spellStart"/>
      <w:r>
        <w:t>instrumentos</w:t>
      </w:r>
      <w:proofErr w:type="spellEnd"/>
      <w:r>
        <w:t xml:space="preserve"> de </w:t>
      </w:r>
      <w:proofErr w:type="spellStart"/>
      <w:r>
        <w:t>gestión</w:t>
      </w:r>
      <w:proofErr w:type="spellEnd"/>
      <w:r>
        <w:t xml:space="preserve"> </w:t>
      </w:r>
      <w:proofErr w:type="spellStart"/>
      <w:r>
        <w:t>del</w:t>
      </w:r>
      <w:proofErr w:type="spellEnd"/>
      <w:r>
        <w:t xml:space="preserve"> </w:t>
      </w:r>
      <w:proofErr w:type="spellStart"/>
      <w:r>
        <w:t>Programa</w:t>
      </w:r>
      <w:proofErr w:type="spellEnd"/>
      <w:r>
        <w:t>.</w:t>
      </w:r>
    </w:p>
    <w:p w14:paraId="473D9CA8" w14:textId="77777777" w:rsidR="000A0A8E" w:rsidRPr="000A0A8E" w:rsidRDefault="000A0A8E" w:rsidP="000A0A8E">
      <w:pPr>
        <w:numPr>
          <w:ilvl w:val="0"/>
          <w:numId w:val="16"/>
        </w:numPr>
        <w:spacing w:after="100" w:line="240" w:lineRule="auto"/>
        <w:ind w:left="357" w:hanging="357"/>
        <w:jc w:val="both"/>
      </w:pPr>
      <w:r w:rsidRPr="00276C95">
        <w:t xml:space="preserve">En los </w:t>
      </w:r>
      <w:proofErr w:type="spellStart"/>
      <w:r w:rsidRPr="00276C95">
        <w:t>procesos</w:t>
      </w:r>
      <w:proofErr w:type="spellEnd"/>
      <w:r w:rsidRPr="00276C95">
        <w:t xml:space="preserve"> </w:t>
      </w:r>
      <w:proofErr w:type="spellStart"/>
      <w:r w:rsidRPr="00276C95">
        <w:t>productivos</w:t>
      </w:r>
      <w:proofErr w:type="spellEnd"/>
      <w:r w:rsidRPr="00276C95">
        <w:t xml:space="preserve"> y </w:t>
      </w:r>
      <w:proofErr w:type="spellStart"/>
      <w:r w:rsidRPr="00276C95">
        <w:t>comerciales</w:t>
      </w:r>
      <w:proofErr w:type="spellEnd"/>
      <w:r w:rsidRPr="00276C95">
        <w:t xml:space="preserve"> </w:t>
      </w:r>
      <w:proofErr w:type="spellStart"/>
      <w:r w:rsidRPr="00276C95">
        <w:t>promovidos</w:t>
      </w:r>
      <w:proofErr w:type="spellEnd"/>
      <w:r w:rsidRPr="00276C95">
        <w:t xml:space="preserve"> </w:t>
      </w:r>
      <w:proofErr w:type="spellStart"/>
      <w:r w:rsidRPr="00276C95">
        <w:t>por</w:t>
      </w:r>
      <w:proofErr w:type="spellEnd"/>
      <w:r w:rsidRPr="00276C95">
        <w:t xml:space="preserve"> las </w:t>
      </w:r>
      <w:proofErr w:type="spellStart"/>
      <w:r w:rsidRPr="00276C95">
        <w:t>acciones</w:t>
      </w:r>
      <w:proofErr w:type="spellEnd"/>
      <w:r w:rsidRPr="00276C95">
        <w:t xml:space="preserve"> </w:t>
      </w:r>
      <w:proofErr w:type="spellStart"/>
      <w:r w:rsidRPr="00276C95">
        <w:t>concretas</w:t>
      </w:r>
      <w:proofErr w:type="spellEnd"/>
      <w:r w:rsidRPr="00276C95">
        <w:t xml:space="preserve"> </w:t>
      </w:r>
      <w:proofErr w:type="spellStart"/>
      <w:r w:rsidRPr="00276C95">
        <w:t>realizadas</w:t>
      </w:r>
      <w:proofErr w:type="spellEnd"/>
      <w:r w:rsidRPr="00276C95">
        <w:t xml:space="preserve"> con las </w:t>
      </w:r>
      <w:proofErr w:type="spellStart"/>
      <w:r w:rsidRPr="00276C95">
        <w:t>comunidades</w:t>
      </w:r>
      <w:proofErr w:type="spellEnd"/>
      <w:r w:rsidRPr="00276C95">
        <w:t xml:space="preserve"> y con familias </w:t>
      </w:r>
      <w:proofErr w:type="spellStart"/>
      <w:r w:rsidRPr="00276C95">
        <w:t>productoras</w:t>
      </w:r>
      <w:proofErr w:type="spellEnd"/>
      <w:r w:rsidRPr="00276C95">
        <w:t xml:space="preserve">, se da un </w:t>
      </w:r>
      <w:proofErr w:type="spellStart"/>
      <w:r w:rsidRPr="00276C95">
        <w:t>incremento</w:t>
      </w:r>
      <w:proofErr w:type="spellEnd"/>
      <w:r w:rsidRPr="00276C95">
        <w:t xml:space="preserve"> de </w:t>
      </w:r>
      <w:proofErr w:type="spellStart"/>
      <w:r w:rsidRPr="00276C95">
        <w:t>oportunidades</w:t>
      </w:r>
      <w:proofErr w:type="spellEnd"/>
      <w:r w:rsidRPr="00276C95">
        <w:t xml:space="preserve"> y un </w:t>
      </w:r>
      <w:proofErr w:type="spellStart"/>
      <w:r w:rsidRPr="00276C95">
        <w:t>incremento</w:t>
      </w:r>
      <w:proofErr w:type="spellEnd"/>
      <w:r w:rsidRPr="00276C95">
        <w:t xml:space="preserve"> de </w:t>
      </w:r>
      <w:proofErr w:type="spellStart"/>
      <w:r w:rsidRPr="00276C95">
        <w:t>capacidades</w:t>
      </w:r>
      <w:proofErr w:type="spellEnd"/>
      <w:r w:rsidRPr="00276C95">
        <w:t xml:space="preserve"> de los </w:t>
      </w:r>
      <w:proofErr w:type="spellStart"/>
      <w:r w:rsidRPr="00276C95">
        <w:t>involucrados</w:t>
      </w:r>
      <w:proofErr w:type="spellEnd"/>
      <w:r w:rsidRPr="00276C95">
        <w:t xml:space="preserve">, </w:t>
      </w:r>
      <w:proofErr w:type="spellStart"/>
      <w:r w:rsidRPr="00276C95">
        <w:t>lo</w:t>
      </w:r>
      <w:proofErr w:type="spellEnd"/>
      <w:r w:rsidRPr="00276C95">
        <w:t xml:space="preserve"> que </w:t>
      </w:r>
      <w:proofErr w:type="spellStart"/>
      <w:r w:rsidRPr="00276C95">
        <w:t>significa</w:t>
      </w:r>
      <w:proofErr w:type="spellEnd"/>
      <w:r w:rsidRPr="00276C95">
        <w:t xml:space="preserve"> un </w:t>
      </w:r>
      <w:proofErr w:type="spellStart"/>
      <w:r w:rsidRPr="00276C95">
        <w:t>incremento</w:t>
      </w:r>
      <w:proofErr w:type="spellEnd"/>
      <w:r w:rsidRPr="00276C95">
        <w:t xml:space="preserve"> de su </w:t>
      </w:r>
      <w:proofErr w:type="spellStart"/>
      <w:r w:rsidRPr="00276C95">
        <w:rPr>
          <w:i/>
        </w:rPr>
        <w:t>inclusión</w:t>
      </w:r>
      <w:proofErr w:type="spellEnd"/>
      <w:r w:rsidRPr="00276C95">
        <w:rPr>
          <w:i/>
        </w:rPr>
        <w:t xml:space="preserve"> social</w:t>
      </w:r>
      <w:r w:rsidRPr="00276C95">
        <w:t xml:space="preserve">. Este es </w:t>
      </w:r>
      <w:proofErr w:type="spellStart"/>
      <w:r w:rsidRPr="00276C95">
        <w:t>ratificado</w:t>
      </w:r>
      <w:proofErr w:type="spellEnd"/>
      <w:r w:rsidRPr="00276C95">
        <w:t xml:space="preserve"> </w:t>
      </w:r>
      <w:proofErr w:type="spellStart"/>
      <w:r w:rsidRPr="00276C95">
        <w:t>por</w:t>
      </w:r>
      <w:proofErr w:type="spellEnd"/>
      <w:r w:rsidRPr="00276C95">
        <w:t xml:space="preserve"> las </w:t>
      </w:r>
      <w:proofErr w:type="spellStart"/>
      <w:r w:rsidRPr="00276C95">
        <w:t>expresiones</w:t>
      </w:r>
      <w:proofErr w:type="spellEnd"/>
      <w:r w:rsidRPr="00276C95">
        <w:t xml:space="preserve"> de los </w:t>
      </w:r>
      <w:proofErr w:type="spellStart"/>
      <w:r w:rsidRPr="00276C95">
        <w:t>protagonistas</w:t>
      </w:r>
      <w:proofErr w:type="spellEnd"/>
      <w:r w:rsidRPr="00276C95">
        <w:t xml:space="preserve"> y se </w:t>
      </w:r>
      <w:proofErr w:type="spellStart"/>
      <w:r w:rsidRPr="00276C95">
        <w:t>manifiesta</w:t>
      </w:r>
      <w:proofErr w:type="spellEnd"/>
      <w:r w:rsidRPr="00276C95">
        <w:t xml:space="preserve"> no solo </w:t>
      </w:r>
      <w:proofErr w:type="spellStart"/>
      <w:r w:rsidRPr="00276C95">
        <w:t>por</w:t>
      </w:r>
      <w:proofErr w:type="spellEnd"/>
      <w:r w:rsidRPr="00276C95">
        <w:t xml:space="preserve"> </w:t>
      </w:r>
      <w:proofErr w:type="spellStart"/>
      <w:r w:rsidRPr="00276C95">
        <w:t>mejoras</w:t>
      </w:r>
      <w:proofErr w:type="spellEnd"/>
      <w:r w:rsidRPr="00276C95">
        <w:t xml:space="preserve"> </w:t>
      </w:r>
      <w:proofErr w:type="spellStart"/>
      <w:r w:rsidRPr="00276C95">
        <w:t>económicas</w:t>
      </w:r>
      <w:proofErr w:type="spellEnd"/>
      <w:r w:rsidRPr="00276C95">
        <w:t xml:space="preserve"> </w:t>
      </w:r>
      <w:proofErr w:type="spellStart"/>
      <w:r w:rsidRPr="00276C95">
        <w:t>incipientes</w:t>
      </w:r>
      <w:proofErr w:type="spellEnd"/>
      <w:r w:rsidRPr="00276C95">
        <w:t xml:space="preserve"> o al </w:t>
      </w:r>
      <w:proofErr w:type="spellStart"/>
      <w:r w:rsidRPr="00276C95">
        <w:t>menos</w:t>
      </w:r>
      <w:proofErr w:type="spellEnd"/>
      <w:r w:rsidRPr="00276C95">
        <w:t xml:space="preserve"> </w:t>
      </w:r>
      <w:proofErr w:type="spellStart"/>
      <w:r w:rsidRPr="00276C95">
        <w:t>potenciales</w:t>
      </w:r>
      <w:proofErr w:type="spellEnd"/>
      <w:r w:rsidRPr="00276C95">
        <w:t xml:space="preserve">, sino </w:t>
      </w:r>
      <w:proofErr w:type="spellStart"/>
      <w:r w:rsidRPr="00276C95">
        <w:t>por</w:t>
      </w:r>
      <w:proofErr w:type="spellEnd"/>
      <w:r w:rsidRPr="00276C95">
        <w:t xml:space="preserve"> </w:t>
      </w:r>
      <w:proofErr w:type="spellStart"/>
      <w:r w:rsidRPr="00276C95">
        <w:t>diversos</w:t>
      </w:r>
      <w:proofErr w:type="spellEnd"/>
      <w:r w:rsidRPr="00276C95">
        <w:t xml:space="preserve"> </w:t>
      </w:r>
      <w:proofErr w:type="spellStart"/>
      <w:r w:rsidRPr="00276C95">
        <w:t>beneficios</w:t>
      </w:r>
      <w:proofErr w:type="spellEnd"/>
      <w:r w:rsidRPr="00276C95">
        <w:t xml:space="preserve"> intangibles, </w:t>
      </w:r>
      <w:proofErr w:type="spellStart"/>
      <w:r w:rsidRPr="00276C95">
        <w:t>como</w:t>
      </w:r>
      <w:proofErr w:type="spellEnd"/>
      <w:r w:rsidRPr="00276C95">
        <w:t xml:space="preserve"> la </w:t>
      </w:r>
      <w:proofErr w:type="spellStart"/>
      <w:r w:rsidRPr="00276C95">
        <w:t>recuperación</w:t>
      </w:r>
      <w:proofErr w:type="spellEnd"/>
      <w:r w:rsidRPr="00276C95">
        <w:t xml:space="preserve"> de la </w:t>
      </w:r>
      <w:proofErr w:type="spellStart"/>
      <w:r w:rsidRPr="00276C95">
        <w:t>confianza</w:t>
      </w:r>
      <w:proofErr w:type="spellEnd"/>
      <w:r w:rsidRPr="00276C95">
        <w:t xml:space="preserve"> de la </w:t>
      </w:r>
      <w:proofErr w:type="spellStart"/>
      <w:r w:rsidRPr="00276C95">
        <w:t>comunidad</w:t>
      </w:r>
      <w:proofErr w:type="spellEnd"/>
      <w:r w:rsidRPr="00276C95">
        <w:t xml:space="preserve"> en su </w:t>
      </w:r>
      <w:proofErr w:type="spellStart"/>
      <w:r w:rsidRPr="00276C95">
        <w:t>capacidad</w:t>
      </w:r>
      <w:proofErr w:type="spellEnd"/>
      <w:r w:rsidRPr="00276C95">
        <w:t xml:space="preserve"> para </w:t>
      </w:r>
      <w:proofErr w:type="spellStart"/>
      <w:r w:rsidRPr="00276C95">
        <w:t>lograr</w:t>
      </w:r>
      <w:proofErr w:type="spellEnd"/>
      <w:r w:rsidRPr="00276C95">
        <w:t xml:space="preserve"> </w:t>
      </w:r>
      <w:proofErr w:type="spellStart"/>
      <w:r w:rsidRPr="00276C95">
        <w:t>cosas</w:t>
      </w:r>
      <w:proofErr w:type="spellEnd"/>
      <w:r w:rsidRPr="00276C95">
        <w:t xml:space="preserve"> </w:t>
      </w:r>
      <w:proofErr w:type="spellStart"/>
      <w:r w:rsidRPr="00276C95">
        <w:t>organizadamente</w:t>
      </w:r>
      <w:proofErr w:type="spellEnd"/>
      <w:r w:rsidRPr="00276C95">
        <w:t xml:space="preserve">. </w:t>
      </w:r>
    </w:p>
    <w:p w14:paraId="21AFB63F" w14:textId="77777777" w:rsidR="000A0A8E" w:rsidRPr="000A0A8E" w:rsidRDefault="000A0A8E" w:rsidP="000A0A8E">
      <w:pPr>
        <w:numPr>
          <w:ilvl w:val="0"/>
          <w:numId w:val="16"/>
        </w:numPr>
        <w:spacing w:after="100" w:line="240" w:lineRule="auto"/>
        <w:ind w:left="357" w:hanging="357"/>
        <w:jc w:val="both"/>
      </w:pPr>
      <w:proofErr w:type="spellStart"/>
      <w:r w:rsidRPr="00276C95">
        <w:t>Después</w:t>
      </w:r>
      <w:proofErr w:type="spellEnd"/>
      <w:r w:rsidRPr="00276C95">
        <w:t xml:space="preserve"> de la </w:t>
      </w:r>
      <w:proofErr w:type="spellStart"/>
      <w:r>
        <w:t>d</w:t>
      </w:r>
      <w:r w:rsidRPr="00276C95">
        <w:t>e</w:t>
      </w:r>
      <w:r>
        <w:t>se</w:t>
      </w:r>
      <w:r w:rsidRPr="00276C95">
        <w:t>structuración</w:t>
      </w:r>
      <w:proofErr w:type="spellEnd"/>
      <w:r w:rsidRPr="00276C95">
        <w:t xml:space="preserve"> </w:t>
      </w:r>
      <w:proofErr w:type="spellStart"/>
      <w:r w:rsidRPr="00276C95">
        <w:t>del</w:t>
      </w:r>
      <w:proofErr w:type="spellEnd"/>
      <w:r w:rsidRPr="00276C95">
        <w:t xml:space="preserve"> capital social </w:t>
      </w:r>
      <w:proofErr w:type="spellStart"/>
      <w:r w:rsidRPr="00276C95">
        <w:t>ocurrida</w:t>
      </w:r>
      <w:proofErr w:type="spellEnd"/>
      <w:r w:rsidRPr="00276C95">
        <w:t xml:space="preserve"> </w:t>
      </w:r>
      <w:proofErr w:type="spellStart"/>
      <w:r w:rsidRPr="00276C95">
        <w:t>durante</w:t>
      </w:r>
      <w:proofErr w:type="spellEnd"/>
      <w:r w:rsidRPr="00276C95">
        <w:t xml:space="preserve"> la </w:t>
      </w:r>
      <w:proofErr w:type="spellStart"/>
      <w:r w:rsidRPr="00276C95">
        <w:t>violencia</w:t>
      </w:r>
      <w:proofErr w:type="spellEnd"/>
      <w:r w:rsidRPr="00276C95">
        <w:t xml:space="preserve">, el PRODERN se </w:t>
      </w:r>
      <w:proofErr w:type="spellStart"/>
      <w:r w:rsidRPr="00276C95">
        <w:t>sumó</w:t>
      </w:r>
      <w:proofErr w:type="spellEnd"/>
      <w:r w:rsidRPr="00276C95">
        <w:t xml:space="preserve"> </w:t>
      </w:r>
      <w:proofErr w:type="spellStart"/>
      <w:r w:rsidRPr="00276C95">
        <w:t>activamente</w:t>
      </w:r>
      <w:proofErr w:type="spellEnd"/>
      <w:r w:rsidRPr="00276C95">
        <w:t xml:space="preserve"> a la </w:t>
      </w:r>
      <w:proofErr w:type="spellStart"/>
      <w:r w:rsidRPr="00276C95">
        <w:t>serie</w:t>
      </w:r>
      <w:proofErr w:type="spellEnd"/>
      <w:r w:rsidRPr="00276C95">
        <w:t xml:space="preserve"> de </w:t>
      </w:r>
      <w:proofErr w:type="spellStart"/>
      <w:r w:rsidRPr="00276C95">
        <w:t>intervenciones</w:t>
      </w:r>
      <w:proofErr w:type="spellEnd"/>
      <w:r w:rsidRPr="00276C95">
        <w:t xml:space="preserve"> que, </w:t>
      </w:r>
      <w:proofErr w:type="spellStart"/>
      <w:r w:rsidRPr="00276C95">
        <w:t>desde</w:t>
      </w:r>
      <w:proofErr w:type="spellEnd"/>
      <w:r w:rsidRPr="00276C95">
        <w:t xml:space="preserve"> </w:t>
      </w:r>
      <w:proofErr w:type="spellStart"/>
      <w:r w:rsidRPr="00276C95">
        <w:t>principio</w:t>
      </w:r>
      <w:proofErr w:type="spellEnd"/>
      <w:r w:rsidRPr="00276C95">
        <w:t xml:space="preserve"> de la </w:t>
      </w:r>
      <w:proofErr w:type="spellStart"/>
      <w:r w:rsidRPr="00276C95">
        <w:t>década</w:t>
      </w:r>
      <w:proofErr w:type="spellEnd"/>
      <w:r w:rsidRPr="00276C95">
        <w:t xml:space="preserve"> </w:t>
      </w:r>
      <w:proofErr w:type="spellStart"/>
      <w:r w:rsidRPr="00276C95">
        <w:t>pasada</w:t>
      </w:r>
      <w:proofErr w:type="spellEnd"/>
      <w:r w:rsidRPr="00276C95">
        <w:t xml:space="preserve">, con los </w:t>
      </w:r>
      <w:proofErr w:type="spellStart"/>
      <w:r w:rsidRPr="00276C95">
        <w:t>proyectos</w:t>
      </w:r>
      <w:proofErr w:type="spellEnd"/>
      <w:r w:rsidRPr="00276C95">
        <w:t xml:space="preserve"> </w:t>
      </w:r>
      <w:proofErr w:type="spellStart"/>
      <w:r w:rsidRPr="00276C95">
        <w:t>del</w:t>
      </w:r>
      <w:proofErr w:type="spellEnd"/>
      <w:r w:rsidRPr="00276C95">
        <w:t xml:space="preserve"> FIDA, se </w:t>
      </w:r>
      <w:proofErr w:type="spellStart"/>
      <w:r w:rsidRPr="00276C95">
        <w:t>desplegaron</w:t>
      </w:r>
      <w:proofErr w:type="spellEnd"/>
      <w:r w:rsidRPr="00276C95">
        <w:t xml:space="preserve"> para </w:t>
      </w:r>
      <w:proofErr w:type="spellStart"/>
      <w:r w:rsidRPr="00276C95">
        <w:t>restaurar</w:t>
      </w:r>
      <w:proofErr w:type="spellEnd"/>
      <w:r w:rsidRPr="00276C95">
        <w:t xml:space="preserve"> las </w:t>
      </w:r>
      <w:proofErr w:type="spellStart"/>
      <w:r w:rsidRPr="00276C95">
        <w:t>comunidades</w:t>
      </w:r>
      <w:proofErr w:type="spellEnd"/>
      <w:r w:rsidRPr="00276C95">
        <w:t xml:space="preserve"> </w:t>
      </w:r>
      <w:proofErr w:type="spellStart"/>
      <w:r w:rsidRPr="00276C95">
        <w:t>campesinas</w:t>
      </w:r>
      <w:proofErr w:type="spellEnd"/>
      <w:r w:rsidRPr="00276C95">
        <w:t xml:space="preserve"> de la Sierra.  En las </w:t>
      </w:r>
      <w:proofErr w:type="spellStart"/>
      <w:r w:rsidRPr="00276C95">
        <w:t>comunidades</w:t>
      </w:r>
      <w:proofErr w:type="spellEnd"/>
      <w:r w:rsidRPr="00276C95">
        <w:t xml:space="preserve"> </w:t>
      </w:r>
      <w:proofErr w:type="spellStart"/>
      <w:r w:rsidRPr="00276C95">
        <w:t>nativas</w:t>
      </w:r>
      <w:proofErr w:type="spellEnd"/>
      <w:r w:rsidRPr="00276C95">
        <w:t xml:space="preserve"> de Selva central, se ha </w:t>
      </w:r>
      <w:proofErr w:type="spellStart"/>
      <w:r w:rsidRPr="00276C95">
        <w:t>sabido</w:t>
      </w:r>
      <w:proofErr w:type="spellEnd"/>
      <w:r w:rsidRPr="00276C95">
        <w:t xml:space="preserve"> </w:t>
      </w:r>
      <w:proofErr w:type="spellStart"/>
      <w:r w:rsidRPr="00276C95">
        <w:t>hacer</w:t>
      </w:r>
      <w:proofErr w:type="spellEnd"/>
      <w:r w:rsidRPr="00276C95">
        <w:t xml:space="preserve"> </w:t>
      </w:r>
      <w:proofErr w:type="spellStart"/>
      <w:r w:rsidRPr="00276C95">
        <w:t>alianza</w:t>
      </w:r>
      <w:proofErr w:type="spellEnd"/>
      <w:r w:rsidRPr="00276C95">
        <w:t xml:space="preserve"> con </w:t>
      </w:r>
      <w:proofErr w:type="spellStart"/>
      <w:r w:rsidRPr="00276C95">
        <w:t>actores</w:t>
      </w:r>
      <w:proofErr w:type="spellEnd"/>
      <w:r w:rsidRPr="00276C95">
        <w:t xml:space="preserve"> </w:t>
      </w:r>
      <w:proofErr w:type="spellStart"/>
      <w:r w:rsidRPr="00276C95">
        <w:t>acompañantes</w:t>
      </w:r>
      <w:proofErr w:type="spellEnd"/>
      <w:r w:rsidRPr="00276C95">
        <w:t xml:space="preserve">, </w:t>
      </w:r>
      <w:proofErr w:type="spellStart"/>
      <w:r w:rsidRPr="00276C95">
        <w:t>pero</w:t>
      </w:r>
      <w:proofErr w:type="spellEnd"/>
      <w:r w:rsidRPr="00276C95">
        <w:t xml:space="preserve"> no se confirma la </w:t>
      </w:r>
      <w:proofErr w:type="spellStart"/>
      <w:r w:rsidRPr="00276C95">
        <w:t>apropiación</w:t>
      </w:r>
      <w:proofErr w:type="spellEnd"/>
      <w:r w:rsidRPr="00276C95">
        <w:t xml:space="preserve"> </w:t>
      </w:r>
      <w:proofErr w:type="spellStart"/>
      <w:r w:rsidRPr="00276C95">
        <w:t>por</w:t>
      </w:r>
      <w:proofErr w:type="spellEnd"/>
      <w:r w:rsidRPr="00276C95">
        <w:t xml:space="preserve"> parte de las </w:t>
      </w:r>
      <w:proofErr w:type="spellStart"/>
      <w:r w:rsidRPr="00276C95">
        <w:t>autoridades</w:t>
      </w:r>
      <w:proofErr w:type="spellEnd"/>
      <w:r w:rsidRPr="00276C95">
        <w:t xml:space="preserve"> </w:t>
      </w:r>
      <w:proofErr w:type="spellStart"/>
      <w:r w:rsidRPr="00276C95">
        <w:t>comunidades</w:t>
      </w:r>
      <w:proofErr w:type="spellEnd"/>
      <w:r w:rsidRPr="00276C95">
        <w:t xml:space="preserve"> </w:t>
      </w:r>
      <w:proofErr w:type="spellStart"/>
      <w:r w:rsidRPr="00276C95">
        <w:t>indígenas</w:t>
      </w:r>
      <w:proofErr w:type="spellEnd"/>
      <w:r w:rsidRPr="00276C95">
        <w:t>.</w:t>
      </w:r>
      <w:r>
        <w:t xml:space="preserve"> En este </w:t>
      </w:r>
      <w:proofErr w:type="spellStart"/>
      <w:r>
        <w:t>contexto</w:t>
      </w:r>
      <w:proofErr w:type="spellEnd"/>
      <w:r>
        <w:t xml:space="preserve"> se ha </w:t>
      </w:r>
      <w:proofErr w:type="spellStart"/>
      <w:r>
        <w:t>trabajado</w:t>
      </w:r>
      <w:proofErr w:type="spellEnd"/>
      <w:r>
        <w:t xml:space="preserve"> </w:t>
      </w:r>
      <w:proofErr w:type="spellStart"/>
      <w:r>
        <w:t>también</w:t>
      </w:r>
      <w:proofErr w:type="spellEnd"/>
      <w:r>
        <w:t xml:space="preserve"> con </w:t>
      </w:r>
      <w:proofErr w:type="spellStart"/>
      <w:r>
        <w:t>organizaciones</w:t>
      </w:r>
      <w:proofErr w:type="spellEnd"/>
      <w:r>
        <w:t xml:space="preserve"> de </w:t>
      </w:r>
      <w:proofErr w:type="spellStart"/>
      <w:r>
        <w:t>mujeres</w:t>
      </w:r>
      <w:proofErr w:type="spellEnd"/>
      <w:r>
        <w:t xml:space="preserve"> de las </w:t>
      </w:r>
      <w:proofErr w:type="spellStart"/>
      <w:r>
        <w:t>comunidades</w:t>
      </w:r>
      <w:proofErr w:type="spellEnd"/>
      <w:r>
        <w:t xml:space="preserve"> </w:t>
      </w:r>
      <w:proofErr w:type="spellStart"/>
      <w:r>
        <w:t>nativas</w:t>
      </w:r>
      <w:proofErr w:type="spellEnd"/>
      <w:r>
        <w:t xml:space="preserve">, </w:t>
      </w:r>
      <w:proofErr w:type="spellStart"/>
      <w:r>
        <w:t>lo</w:t>
      </w:r>
      <w:proofErr w:type="spellEnd"/>
      <w:r>
        <w:t xml:space="preserve"> que </w:t>
      </w:r>
      <w:proofErr w:type="spellStart"/>
      <w:r>
        <w:t>constituye</w:t>
      </w:r>
      <w:proofErr w:type="spellEnd"/>
      <w:r>
        <w:t xml:space="preserve"> un </w:t>
      </w:r>
      <w:proofErr w:type="spellStart"/>
      <w:r>
        <w:t>ejemplo</w:t>
      </w:r>
      <w:proofErr w:type="spellEnd"/>
      <w:r>
        <w:t xml:space="preserve"> de la </w:t>
      </w:r>
      <w:proofErr w:type="spellStart"/>
      <w:r>
        <w:t>puesta</w:t>
      </w:r>
      <w:proofErr w:type="spellEnd"/>
      <w:r>
        <w:t xml:space="preserve"> en </w:t>
      </w:r>
      <w:proofErr w:type="spellStart"/>
      <w:r>
        <w:t>práctica</w:t>
      </w:r>
      <w:proofErr w:type="spellEnd"/>
      <w:r>
        <w:t xml:space="preserve"> </w:t>
      </w:r>
      <w:proofErr w:type="spellStart"/>
      <w:r>
        <w:t>del</w:t>
      </w:r>
      <w:proofErr w:type="spellEnd"/>
      <w:r>
        <w:t xml:space="preserve"> </w:t>
      </w:r>
      <w:proofErr w:type="spellStart"/>
      <w:r>
        <w:t>enfoque</w:t>
      </w:r>
      <w:proofErr w:type="spellEnd"/>
      <w:r>
        <w:t xml:space="preserve"> GIIS.</w:t>
      </w:r>
    </w:p>
    <w:p w14:paraId="6CEF40DD" w14:textId="77777777" w:rsidR="000A0A8E" w:rsidRPr="00276C95" w:rsidRDefault="000A0A8E" w:rsidP="000A0A8E"/>
    <w:p w14:paraId="31983E0B" w14:textId="77777777" w:rsidR="000A0A8E" w:rsidRPr="000A0A8E" w:rsidRDefault="000A0A8E" w:rsidP="000A0A8E">
      <w:pPr>
        <w:rPr>
          <w:b/>
          <w:i/>
          <w:color w:val="404040"/>
          <w:lang w:val="es-BO"/>
        </w:rPr>
      </w:pPr>
      <w:proofErr w:type="spellStart"/>
      <w:r w:rsidRPr="000A0A8E">
        <w:rPr>
          <w:b/>
          <w:i/>
          <w:color w:val="404040"/>
        </w:rPr>
        <w:t>Recomendaciones</w:t>
      </w:r>
      <w:proofErr w:type="spellEnd"/>
      <w:r w:rsidRPr="000A0A8E">
        <w:rPr>
          <w:b/>
          <w:i/>
          <w:color w:val="404040"/>
        </w:rPr>
        <w:t xml:space="preserve"> a</w:t>
      </w:r>
      <w:r w:rsidRPr="000A0A8E">
        <w:rPr>
          <w:b/>
          <w:i/>
          <w:color w:val="404040"/>
          <w:lang w:val="es-BO"/>
        </w:rPr>
        <w:t xml:space="preserve"> la Cooperación Belga</w:t>
      </w:r>
    </w:p>
    <w:p w14:paraId="38910B3B" w14:textId="77777777" w:rsidR="000A0A8E" w:rsidRPr="000A0A8E" w:rsidRDefault="000A0A8E" w:rsidP="000A0A8E">
      <w:pPr>
        <w:numPr>
          <w:ilvl w:val="0"/>
          <w:numId w:val="14"/>
        </w:numPr>
        <w:spacing w:after="0" w:line="240" w:lineRule="auto"/>
        <w:jc w:val="both"/>
        <w:rPr>
          <w:lang w:val="es-BO"/>
        </w:rPr>
      </w:pPr>
      <w:r w:rsidRPr="000A0A8E">
        <w:rPr>
          <w:lang w:val="es-BO"/>
        </w:rPr>
        <w:t xml:space="preserve">En la fase de cierre, además de proceder a actos formales, se recomienda llevar a cabo reuniones de trabajo para la “entrega” de los procesos a instituciones clave por tema, para facilitar su posible continuidad. </w:t>
      </w:r>
    </w:p>
    <w:p w14:paraId="2F68AB1B" w14:textId="77777777" w:rsidR="000A0A8E" w:rsidRPr="000A0A8E" w:rsidRDefault="000A0A8E" w:rsidP="000A0A8E">
      <w:pPr>
        <w:numPr>
          <w:ilvl w:val="0"/>
          <w:numId w:val="14"/>
        </w:numPr>
        <w:spacing w:after="0" w:line="240" w:lineRule="auto"/>
        <w:jc w:val="both"/>
        <w:rPr>
          <w:lang w:val="es-BO"/>
        </w:rPr>
      </w:pPr>
      <w:r w:rsidRPr="000A0A8E">
        <w:rPr>
          <w:lang w:val="es-BO"/>
        </w:rPr>
        <w:t>Elaborar documentos de fácil uso, en versiones físicas y digitales en línea, a partir de la sistematización en temas como: gestión territorial comunitaria, experiencias de MRSE, con relatos argumentados de los pasos seguidos, sus errores y aciertos, y pautas para multiplicar sus experiencias respectivas, en otros territorios de las mismas regiones o en otros contextos.</w:t>
      </w:r>
    </w:p>
    <w:p w14:paraId="5D78E806" w14:textId="77777777" w:rsidR="000A0A8E" w:rsidRPr="000A0A8E" w:rsidRDefault="000A0A8E" w:rsidP="000A0A8E">
      <w:pPr>
        <w:pStyle w:val="Paragraphedeliste"/>
        <w:numPr>
          <w:ilvl w:val="0"/>
          <w:numId w:val="14"/>
        </w:numPr>
        <w:spacing w:after="0" w:line="240" w:lineRule="auto"/>
        <w:jc w:val="both"/>
      </w:pPr>
      <w:r w:rsidRPr="000A0A8E">
        <w:t xml:space="preserve">En el </w:t>
      </w:r>
      <w:proofErr w:type="spellStart"/>
      <w:r w:rsidRPr="000A0A8E">
        <w:t>tema</w:t>
      </w:r>
      <w:proofErr w:type="spellEnd"/>
      <w:r w:rsidRPr="000A0A8E">
        <w:t xml:space="preserve"> de MRSE, el </w:t>
      </w:r>
      <w:proofErr w:type="spellStart"/>
      <w:r w:rsidRPr="000A0A8E">
        <w:t>cierre</w:t>
      </w:r>
      <w:proofErr w:type="spellEnd"/>
      <w:r w:rsidRPr="000A0A8E">
        <w:t xml:space="preserve"> </w:t>
      </w:r>
      <w:proofErr w:type="spellStart"/>
      <w:r w:rsidRPr="000A0A8E">
        <w:t>del</w:t>
      </w:r>
      <w:proofErr w:type="spellEnd"/>
      <w:r w:rsidRPr="000A0A8E">
        <w:t xml:space="preserve"> </w:t>
      </w:r>
      <w:proofErr w:type="spellStart"/>
      <w:r w:rsidRPr="000A0A8E">
        <w:t>Programa</w:t>
      </w:r>
      <w:proofErr w:type="spellEnd"/>
      <w:r w:rsidRPr="000A0A8E">
        <w:t xml:space="preserve"> </w:t>
      </w:r>
      <w:proofErr w:type="spellStart"/>
      <w:r w:rsidRPr="000A0A8E">
        <w:t>debería</w:t>
      </w:r>
      <w:proofErr w:type="spellEnd"/>
      <w:r w:rsidRPr="000A0A8E">
        <w:t xml:space="preserve"> </w:t>
      </w:r>
      <w:proofErr w:type="spellStart"/>
      <w:r w:rsidRPr="000A0A8E">
        <w:t>ser</w:t>
      </w:r>
      <w:proofErr w:type="spellEnd"/>
      <w:r w:rsidRPr="000A0A8E">
        <w:t xml:space="preserve"> la </w:t>
      </w:r>
      <w:proofErr w:type="spellStart"/>
      <w:r w:rsidRPr="000A0A8E">
        <w:t>oportunidad</w:t>
      </w:r>
      <w:proofErr w:type="spellEnd"/>
      <w:r w:rsidRPr="000A0A8E">
        <w:t xml:space="preserve"> de un </w:t>
      </w:r>
      <w:proofErr w:type="spellStart"/>
      <w:r w:rsidRPr="000A0A8E">
        <w:t>foro</w:t>
      </w:r>
      <w:proofErr w:type="spellEnd"/>
      <w:r w:rsidRPr="000A0A8E">
        <w:t xml:space="preserve"> </w:t>
      </w:r>
      <w:proofErr w:type="spellStart"/>
      <w:r w:rsidRPr="000A0A8E">
        <w:t>específico</w:t>
      </w:r>
      <w:proofErr w:type="spellEnd"/>
      <w:r w:rsidRPr="000A0A8E">
        <w:t xml:space="preserve"> sobre los </w:t>
      </w:r>
      <w:proofErr w:type="spellStart"/>
      <w:r w:rsidRPr="000A0A8E">
        <w:t>aprendizajes</w:t>
      </w:r>
      <w:proofErr w:type="spellEnd"/>
      <w:r w:rsidRPr="000A0A8E">
        <w:t xml:space="preserve"> en este </w:t>
      </w:r>
      <w:proofErr w:type="spellStart"/>
      <w:r w:rsidRPr="000A0A8E">
        <w:t>tema</w:t>
      </w:r>
      <w:proofErr w:type="spellEnd"/>
      <w:r w:rsidRPr="000A0A8E">
        <w:t xml:space="preserve">, que el MINAM </w:t>
      </w:r>
      <w:proofErr w:type="spellStart"/>
      <w:r w:rsidRPr="000A0A8E">
        <w:t>podría</w:t>
      </w:r>
      <w:proofErr w:type="spellEnd"/>
      <w:r w:rsidRPr="000A0A8E">
        <w:t xml:space="preserve"> </w:t>
      </w:r>
      <w:proofErr w:type="spellStart"/>
      <w:r w:rsidRPr="000A0A8E">
        <w:t>mantener</w:t>
      </w:r>
      <w:proofErr w:type="spellEnd"/>
      <w:r w:rsidRPr="000A0A8E">
        <w:t xml:space="preserve"> </w:t>
      </w:r>
      <w:proofErr w:type="spellStart"/>
      <w:r w:rsidRPr="000A0A8E">
        <w:t>como</w:t>
      </w:r>
      <w:proofErr w:type="spellEnd"/>
      <w:r w:rsidRPr="000A0A8E">
        <w:t xml:space="preserve"> comité </w:t>
      </w:r>
      <w:proofErr w:type="spellStart"/>
      <w:r w:rsidRPr="000A0A8E">
        <w:t>asesor</w:t>
      </w:r>
      <w:proofErr w:type="spellEnd"/>
      <w:r w:rsidRPr="000A0A8E">
        <w:t xml:space="preserve">, </w:t>
      </w:r>
      <w:proofErr w:type="spellStart"/>
      <w:r w:rsidRPr="000A0A8E">
        <w:t>debe</w:t>
      </w:r>
      <w:proofErr w:type="spellEnd"/>
      <w:r w:rsidRPr="000A0A8E">
        <w:t xml:space="preserve"> </w:t>
      </w:r>
      <w:proofErr w:type="spellStart"/>
      <w:r w:rsidRPr="000A0A8E">
        <w:t>uniformizar</w:t>
      </w:r>
      <w:proofErr w:type="spellEnd"/>
      <w:r w:rsidRPr="000A0A8E">
        <w:t xml:space="preserve"> </w:t>
      </w:r>
      <w:proofErr w:type="spellStart"/>
      <w:r w:rsidRPr="000A0A8E">
        <w:t>criterios</w:t>
      </w:r>
      <w:proofErr w:type="spellEnd"/>
      <w:r w:rsidRPr="000A0A8E">
        <w:t xml:space="preserve"> en </w:t>
      </w:r>
      <w:proofErr w:type="spellStart"/>
      <w:r w:rsidRPr="000A0A8E">
        <w:t>torno</w:t>
      </w:r>
      <w:proofErr w:type="spellEnd"/>
      <w:r w:rsidRPr="000A0A8E">
        <w:t xml:space="preserve"> a este bien </w:t>
      </w:r>
      <w:proofErr w:type="spellStart"/>
      <w:r w:rsidRPr="000A0A8E">
        <w:t>común</w:t>
      </w:r>
      <w:proofErr w:type="spellEnd"/>
      <w:r w:rsidRPr="000A0A8E">
        <w:t xml:space="preserve"> que son los </w:t>
      </w:r>
      <w:proofErr w:type="spellStart"/>
      <w:r w:rsidRPr="000A0A8E">
        <w:t>servicios</w:t>
      </w:r>
      <w:proofErr w:type="spellEnd"/>
      <w:r w:rsidRPr="000A0A8E">
        <w:t xml:space="preserve"> </w:t>
      </w:r>
      <w:proofErr w:type="spellStart"/>
      <w:r w:rsidRPr="000A0A8E">
        <w:t>ecosistémicos</w:t>
      </w:r>
      <w:proofErr w:type="spellEnd"/>
      <w:r w:rsidRPr="000A0A8E">
        <w:t xml:space="preserve"> </w:t>
      </w:r>
      <w:proofErr w:type="spellStart"/>
      <w:r w:rsidRPr="000A0A8E">
        <w:t>hídricos</w:t>
      </w:r>
      <w:proofErr w:type="spellEnd"/>
      <w:r w:rsidRPr="000A0A8E">
        <w:t xml:space="preserve">. </w:t>
      </w:r>
    </w:p>
    <w:p w14:paraId="026A1762" w14:textId="77777777" w:rsidR="000A0A8E" w:rsidRPr="000A0A8E" w:rsidRDefault="000A0A8E" w:rsidP="000A0A8E">
      <w:pPr>
        <w:pStyle w:val="Paragraphedeliste"/>
      </w:pPr>
    </w:p>
    <w:p w14:paraId="3B0FBEFA" w14:textId="77777777" w:rsidR="000A0A8E" w:rsidRPr="000A0A8E" w:rsidRDefault="000A0A8E" w:rsidP="000A0A8E">
      <w:pPr>
        <w:rPr>
          <w:b/>
          <w:color w:val="404040"/>
          <w:lang w:val="es-BO"/>
        </w:rPr>
      </w:pPr>
      <w:proofErr w:type="spellStart"/>
      <w:r w:rsidRPr="000A0A8E">
        <w:rPr>
          <w:b/>
          <w:i/>
          <w:color w:val="404040"/>
        </w:rPr>
        <w:t>Recomendaciones</w:t>
      </w:r>
      <w:proofErr w:type="spellEnd"/>
      <w:r w:rsidRPr="000A0A8E">
        <w:rPr>
          <w:b/>
          <w:i/>
          <w:color w:val="404040"/>
        </w:rPr>
        <w:t xml:space="preserve"> a</w:t>
      </w:r>
      <w:r w:rsidRPr="000A0A8E">
        <w:rPr>
          <w:b/>
          <w:color w:val="404040"/>
          <w:lang w:val="es-BO"/>
        </w:rPr>
        <w:t>l MINAM</w:t>
      </w:r>
    </w:p>
    <w:p w14:paraId="661E5563" w14:textId="77777777" w:rsidR="000A0A8E" w:rsidRPr="000A0A8E" w:rsidRDefault="000A0A8E" w:rsidP="000A0A8E">
      <w:pPr>
        <w:pStyle w:val="Paragraphedeliste"/>
        <w:numPr>
          <w:ilvl w:val="0"/>
          <w:numId w:val="14"/>
        </w:numPr>
        <w:spacing w:after="0" w:line="240" w:lineRule="auto"/>
        <w:jc w:val="both"/>
      </w:pPr>
      <w:r w:rsidRPr="000A0A8E">
        <w:rPr>
          <w:lang w:val="es-BO"/>
        </w:rPr>
        <w:t xml:space="preserve">Se recomienda al MINAM otorgar la más alta prioridad en continuar enrumbando el sector </w:t>
      </w:r>
      <w:proofErr w:type="spellStart"/>
      <w:r w:rsidRPr="000A0A8E">
        <w:t>ambiente</w:t>
      </w:r>
      <w:proofErr w:type="spellEnd"/>
      <w:r w:rsidRPr="000A0A8E">
        <w:t xml:space="preserve"> </w:t>
      </w:r>
      <w:proofErr w:type="spellStart"/>
      <w:r w:rsidRPr="000A0A8E">
        <w:t>hacia</w:t>
      </w:r>
      <w:proofErr w:type="spellEnd"/>
      <w:r w:rsidRPr="000A0A8E">
        <w:t xml:space="preserve"> la </w:t>
      </w:r>
      <w:proofErr w:type="spellStart"/>
      <w:r w:rsidRPr="000A0A8E">
        <w:t>presupuestación</w:t>
      </w:r>
      <w:proofErr w:type="spellEnd"/>
      <w:r w:rsidRPr="000A0A8E">
        <w:t xml:space="preserve"> </w:t>
      </w:r>
      <w:proofErr w:type="spellStart"/>
      <w:r w:rsidRPr="000A0A8E">
        <w:t>por</w:t>
      </w:r>
      <w:proofErr w:type="spellEnd"/>
      <w:r w:rsidRPr="000A0A8E">
        <w:t xml:space="preserve"> </w:t>
      </w:r>
      <w:proofErr w:type="spellStart"/>
      <w:r w:rsidRPr="000A0A8E">
        <w:t>programa</w:t>
      </w:r>
      <w:proofErr w:type="spellEnd"/>
      <w:r w:rsidRPr="000A0A8E">
        <w:t xml:space="preserve"> en </w:t>
      </w:r>
      <w:proofErr w:type="spellStart"/>
      <w:r w:rsidRPr="000A0A8E">
        <w:t>función</w:t>
      </w:r>
      <w:proofErr w:type="spellEnd"/>
      <w:r w:rsidRPr="000A0A8E">
        <w:t xml:space="preserve"> de </w:t>
      </w:r>
      <w:proofErr w:type="spellStart"/>
      <w:r w:rsidRPr="000A0A8E">
        <w:t>brechas</w:t>
      </w:r>
      <w:proofErr w:type="spellEnd"/>
      <w:r w:rsidRPr="000A0A8E">
        <w:t xml:space="preserve">, </w:t>
      </w:r>
      <w:proofErr w:type="spellStart"/>
      <w:r w:rsidRPr="000A0A8E">
        <w:t>soportándolas</w:t>
      </w:r>
      <w:proofErr w:type="spellEnd"/>
      <w:r w:rsidRPr="000A0A8E">
        <w:t xml:space="preserve"> con </w:t>
      </w:r>
      <w:proofErr w:type="spellStart"/>
      <w:r w:rsidRPr="000A0A8E">
        <w:t>mediciones</w:t>
      </w:r>
      <w:proofErr w:type="spellEnd"/>
      <w:r w:rsidRPr="000A0A8E">
        <w:t xml:space="preserve"> </w:t>
      </w:r>
      <w:proofErr w:type="spellStart"/>
      <w:r w:rsidRPr="000A0A8E">
        <w:t>del</w:t>
      </w:r>
      <w:proofErr w:type="spellEnd"/>
      <w:r w:rsidRPr="000A0A8E">
        <w:t xml:space="preserve"> </w:t>
      </w:r>
      <w:proofErr w:type="spellStart"/>
      <w:r w:rsidRPr="000A0A8E">
        <w:t>impacto</w:t>
      </w:r>
      <w:proofErr w:type="spellEnd"/>
      <w:r w:rsidRPr="000A0A8E">
        <w:t xml:space="preserve"> </w:t>
      </w:r>
      <w:proofErr w:type="spellStart"/>
      <w:r w:rsidRPr="000A0A8E">
        <w:t>económico</w:t>
      </w:r>
      <w:proofErr w:type="spellEnd"/>
      <w:r w:rsidRPr="000A0A8E">
        <w:t xml:space="preserve"> de la </w:t>
      </w:r>
      <w:proofErr w:type="spellStart"/>
      <w:r w:rsidRPr="000A0A8E">
        <w:t>carencia</w:t>
      </w:r>
      <w:proofErr w:type="spellEnd"/>
      <w:r w:rsidRPr="000A0A8E">
        <w:t xml:space="preserve"> de </w:t>
      </w:r>
      <w:proofErr w:type="spellStart"/>
      <w:r w:rsidRPr="000A0A8E">
        <w:t>inversiones</w:t>
      </w:r>
      <w:proofErr w:type="spellEnd"/>
      <w:r w:rsidRPr="000A0A8E">
        <w:t xml:space="preserve"> en </w:t>
      </w:r>
      <w:proofErr w:type="spellStart"/>
      <w:r w:rsidRPr="000A0A8E">
        <w:t>infraestructura</w:t>
      </w:r>
      <w:proofErr w:type="spellEnd"/>
      <w:r w:rsidRPr="000A0A8E">
        <w:t xml:space="preserve"> </w:t>
      </w:r>
      <w:proofErr w:type="spellStart"/>
      <w:r w:rsidRPr="000A0A8E">
        <w:t>ambiental</w:t>
      </w:r>
      <w:proofErr w:type="spellEnd"/>
      <w:r w:rsidRPr="000A0A8E">
        <w:t>.</w:t>
      </w:r>
    </w:p>
    <w:p w14:paraId="34BE9C45" w14:textId="77777777" w:rsidR="000A0A8E" w:rsidRPr="000A0A8E" w:rsidRDefault="000A0A8E" w:rsidP="000A0A8E">
      <w:pPr>
        <w:pStyle w:val="Paragraphedeliste"/>
        <w:numPr>
          <w:ilvl w:val="0"/>
          <w:numId w:val="14"/>
        </w:numPr>
        <w:spacing w:after="0" w:line="240" w:lineRule="auto"/>
        <w:jc w:val="both"/>
      </w:pPr>
      <w:r w:rsidRPr="000A0A8E">
        <w:t xml:space="preserve">Para </w:t>
      </w:r>
      <w:proofErr w:type="spellStart"/>
      <w:r w:rsidRPr="000A0A8E">
        <w:t>impulsar</w:t>
      </w:r>
      <w:proofErr w:type="spellEnd"/>
      <w:r w:rsidRPr="000A0A8E">
        <w:t xml:space="preserve"> la </w:t>
      </w:r>
      <w:proofErr w:type="spellStart"/>
      <w:r w:rsidRPr="000A0A8E">
        <w:t>inversión</w:t>
      </w:r>
      <w:proofErr w:type="spellEnd"/>
      <w:r w:rsidRPr="000A0A8E">
        <w:t xml:space="preserve"> en GERRNN a </w:t>
      </w:r>
      <w:proofErr w:type="spellStart"/>
      <w:r w:rsidRPr="000A0A8E">
        <w:t>nivel</w:t>
      </w:r>
      <w:proofErr w:type="spellEnd"/>
      <w:r w:rsidRPr="000A0A8E">
        <w:t xml:space="preserve"> de los GORE, y </w:t>
      </w:r>
      <w:proofErr w:type="spellStart"/>
      <w:r w:rsidRPr="000A0A8E">
        <w:t>cambiar</w:t>
      </w:r>
      <w:proofErr w:type="spellEnd"/>
      <w:r w:rsidRPr="000A0A8E">
        <w:t xml:space="preserve"> </w:t>
      </w:r>
      <w:proofErr w:type="spellStart"/>
      <w:r w:rsidRPr="000A0A8E">
        <w:t>significativamente</w:t>
      </w:r>
      <w:proofErr w:type="spellEnd"/>
      <w:r w:rsidRPr="000A0A8E">
        <w:t xml:space="preserve"> la </w:t>
      </w:r>
      <w:proofErr w:type="spellStart"/>
      <w:r w:rsidRPr="000A0A8E">
        <w:t>disponibilidad</w:t>
      </w:r>
      <w:proofErr w:type="spellEnd"/>
      <w:r w:rsidRPr="000A0A8E">
        <w:t xml:space="preserve"> de los </w:t>
      </w:r>
      <w:proofErr w:type="spellStart"/>
      <w:r w:rsidRPr="000A0A8E">
        <w:t>recursos</w:t>
      </w:r>
      <w:proofErr w:type="spellEnd"/>
      <w:r w:rsidRPr="000A0A8E">
        <w:t xml:space="preserve"> para </w:t>
      </w:r>
      <w:proofErr w:type="spellStart"/>
      <w:r w:rsidRPr="000A0A8E">
        <w:t>financiar</w:t>
      </w:r>
      <w:proofErr w:type="spellEnd"/>
      <w:r w:rsidRPr="000A0A8E">
        <w:t xml:space="preserve"> </w:t>
      </w:r>
      <w:proofErr w:type="spellStart"/>
      <w:r w:rsidRPr="000A0A8E">
        <w:t>inversiones</w:t>
      </w:r>
      <w:proofErr w:type="spellEnd"/>
      <w:r w:rsidRPr="000A0A8E">
        <w:t xml:space="preserve"> locales en la </w:t>
      </w:r>
      <w:proofErr w:type="spellStart"/>
      <w:r w:rsidRPr="000A0A8E">
        <w:t>recuperación</w:t>
      </w:r>
      <w:proofErr w:type="spellEnd"/>
      <w:r w:rsidRPr="000A0A8E">
        <w:t xml:space="preserve"> de </w:t>
      </w:r>
      <w:proofErr w:type="spellStart"/>
      <w:r w:rsidRPr="000A0A8E">
        <w:t>ecosistemas</w:t>
      </w:r>
      <w:proofErr w:type="spellEnd"/>
      <w:r w:rsidRPr="000A0A8E">
        <w:t xml:space="preserve"> </w:t>
      </w:r>
      <w:proofErr w:type="spellStart"/>
      <w:r w:rsidRPr="000A0A8E">
        <w:t>estratégicos</w:t>
      </w:r>
      <w:proofErr w:type="spellEnd"/>
      <w:r w:rsidRPr="000A0A8E">
        <w:t xml:space="preserve"> y </w:t>
      </w:r>
      <w:proofErr w:type="spellStart"/>
      <w:r w:rsidRPr="000A0A8E">
        <w:t>promover</w:t>
      </w:r>
      <w:proofErr w:type="spellEnd"/>
      <w:r w:rsidRPr="000A0A8E">
        <w:t xml:space="preserve"> </w:t>
      </w:r>
      <w:proofErr w:type="spellStart"/>
      <w:r w:rsidRPr="000A0A8E">
        <w:t>actividades</w:t>
      </w:r>
      <w:proofErr w:type="spellEnd"/>
      <w:r w:rsidRPr="000A0A8E">
        <w:t xml:space="preserve"> en el </w:t>
      </w:r>
      <w:proofErr w:type="spellStart"/>
      <w:r w:rsidRPr="000A0A8E">
        <w:t>marco</w:t>
      </w:r>
      <w:proofErr w:type="spellEnd"/>
      <w:r w:rsidRPr="000A0A8E">
        <w:t xml:space="preserve"> de la GERRNN y la </w:t>
      </w:r>
      <w:proofErr w:type="spellStart"/>
      <w:r w:rsidRPr="000A0A8E">
        <w:t>Conservación</w:t>
      </w:r>
      <w:proofErr w:type="spellEnd"/>
      <w:r w:rsidRPr="000A0A8E">
        <w:t xml:space="preserve"> </w:t>
      </w:r>
      <w:proofErr w:type="spellStart"/>
      <w:r w:rsidRPr="000A0A8E">
        <w:t>regional</w:t>
      </w:r>
      <w:proofErr w:type="spellEnd"/>
      <w:r w:rsidRPr="000A0A8E">
        <w:t xml:space="preserve"> </w:t>
      </w:r>
      <w:proofErr w:type="spellStart"/>
      <w:r w:rsidRPr="000A0A8E">
        <w:t>articulada</w:t>
      </w:r>
      <w:proofErr w:type="spellEnd"/>
      <w:r w:rsidRPr="000A0A8E">
        <w:t xml:space="preserve"> a </w:t>
      </w:r>
      <w:proofErr w:type="spellStart"/>
      <w:r w:rsidRPr="000A0A8E">
        <w:t>ella</w:t>
      </w:r>
      <w:proofErr w:type="spellEnd"/>
      <w:r w:rsidRPr="000A0A8E">
        <w:t xml:space="preserve">, y </w:t>
      </w:r>
      <w:proofErr w:type="spellStart"/>
      <w:r w:rsidRPr="000A0A8E">
        <w:t>así</w:t>
      </w:r>
      <w:proofErr w:type="spellEnd"/>
      <w:r w:rsidRPr="000A0A8E">
        <w:t xml:space="preserve"> </w:t>
      </w:r>
      <w:proofErr w:type="spellStart"/>
      <w:r w:rsidRPr="000A0A8E">
        <w:t>alcanzar</w:t>
      </w:r>
      <w:proofErr w:type="spellEnd"/>
      <w:r w:rsidRPr="000A0A8E">
        <w:t xml:space="preserve"> </w:t>
      </w:r>
      <w:proofErr w:type="spellStart"/>
      <w:r w:rsidRPr="000A0A8E">
        <w:t>efectivamente</w:t>
      </w:r>
      <w:proofErr w:type="spellEnd"/>
      <w:r w:rsidRPr="000A0A8E">
        <w:t xml:space="preserve"> el OE </w:t>
      </w:r>
      <w:proofErr w:type="spellStart"/>
      <w:r w:rsidRPr="000A0A8E">
        <w:t>del</w:t>
      </w:r>
      <w:proofErr w:type="spellEnd"/>
      <w:r w:rsidRPr="000A0A8E">
        <w:t xml:space="preserve"> PRODERN, se </w:t>
      </w:r>
      <w:proofErr w:type="spellStart"/>
      <w:r w:rsidRPr="000A0A8E">
        <w:t>requiere</w:t>
      </w:r>
      <w:proofErr w:type="spellEnd"/>
      <w:r w:rsidRPr="000A0A8E">
        <w:t xml:space="preserve"> de al </w:t>
      </w:r>
      <w:proofErr w:type="spellStart"/>
      <w:r w:rsidRPr="000A0A8E">
        <w:t>menos</w:t>
      </w:r>
      <w:proofErr w:type="spellEnd"/>
      <w:r w:rsidRPr="000A0A8E">
        <w:t xml:space="preserve"> un </w:t>
      </w:r>
      <w:proofErr w:type="spellStart"/>
      <w:r w:rsidRPr="000A0A8E">
        <w:t>programa</w:t>
      </w:r>
      <w:proofErr w:type="spellEnd"/>
      <w:r w:rsidRPr="000A0A8E">
        <w:t xml:space="preserve"> </w:t>
      </w:r>
      <w:proofErr w:type="spellStart"/>
      <w:r w:rsidRPr="000A0A8E">
        <w:t>presupuestario</w:t>
      </w:r>
      <w:proofErr w:type="spellEnd"/>
      <w:r w:rsidRPr="000A0A8E">
        <w:t xml:space="preserve"> </w:t>
      </w:r>
      <w:proofErr w:type="spellStart"/>
      <w:r w:rsidRPr="000A0A8E">
        <w:t>nacional</w:t>
      </w:r>
      <w:proofErr w:type="spellEnd"/>
      <w:r w:rsidRPr="000A0A8E">
        <w:t xml:space="preserve">, de </w:t>
      </w:r>
      <w:proofErr w:type="spellStart"/>
      <w:r w:rsidRPr="000A0A8E">
        <w:t>tipo</w:t>
      </w:r>
      <w:proofErr w:type="spellEnd"/>
      <w:r w:rsidRPr="000A0A8E">
        <w:t xml:space="preserve"> </w:t>
      </w:r>
      <w:proofErr w:type="spellStart"/>
      <w:r w:rsidRPr="000A0A8E">
        <w:t>multisectorial</w:t>
      </w:r>
      <w:proofErr w:type="spellEnd"/>
      <w:r w:rsidRPr="000A0A8E">
        <w:t xml:space="preserve">, que indique a los GORE y GOLO las </w:t>
      </w:r>
      <w:proofErr w:type="spellStart"/>
      <w:r w:rsidRPr="000A0A8E">
        <w:t>asignaciones</w:t>
      </w:r>
      <w:proofErr w:type="spellEnd"/>
      <w:r w:rsidRPr="000A0A8E">
        <w:t xml:space="preserve"> que </w:t>
      </w:r>
      <w:proofErr w:type="spellStart"/>
      <w:r w:rsidRPr="000A0A8E">
        <w:t>deben</w:t>
      </w:r>
      <w:proofErr w:type="spellEnd"/>
      <w:r w:rsidRPr="000A0A8E">
        <w:t xml:space="preserve"> </w:t>
      </w:r>
      <w:proofErr w:type="spellStart"/>
      <w:r w:rsidRPr="000A0A8E">
        <w:t>hacer</w:t>
      </w:r>
      <w:proofErr w:type="spellEnd"/>
      <w:r w:rsidRPr="000A0A8E">
        <w:t xml:space="preserve"> con fines de </w:t>
      </w:r>
      <w:proofErr w:type="spellStart"/>
      <w:r w:rsidRPr="000A0A8E">
        <w:t>aplicar</w:t>
      </w:r>
      <w:proofErr w:type="spellEnd"/>
      <w:r w:rsidRPr="000A0A8E">
        <w:t xml:space="preserve"> la GERRNN, en </w:t>
      </w:r>
      <w:proofErr w:type="spellStart"/>
      <w:r w:rsidRPr="000A0A8E">
        <w:t>una</w:t>
      </w:r>
      <w:proofErr w:type="spellEnd"/>
      <w:r w:rsidRPr="000A0A8E">
        <w:t xml:space="preserve"> </w:t>
      </w:r>
      <w:proofErr w:type="spellStart"/>
      <w:r w:rsidRPr="000A0A8E">
        <w:t>proporción</w:t>
      </w:r>
      <w:proofErr w:type="spellEnd"/>
      <w:r w:rsidRPr="000A0A8E">
        <w:t xml:space="preserve"> </w:t>
      </w:r>
      <w:proofErr w:type="spellStart"/>
      <w:r w:rsidRPr="000A0A8E">
        <w:t>significativa</w:t>
      </w:r>
      <w:proofErr w:type="spellEnd"/>
      <w:r w:rsidRPr="000A0A8E">
        <w:t xml:space="preserve"> de su </w:t>
      </w:r>
      <w:proofErr w:type="spellStart"/>
      <w:r w:rsidRPr="000A0A8E">
        <w:t>presupuesto</w:t>
      </w:r>
      <w:proofErr w:type="spellEnd"/>
      <w:r w:rsidRPr="000A0A8E">
        <w:t xml:space="preserve"> total..</w:t>
      </w:r>
    </w:p>
    <w:p w14:paraId="0F7DCCB9" w14:textId="77777777" w:rsidR="000A0A8E" w:rsidRPr="000A0A8E" w:rsidRDefault="000A0A8E" w:rsidP="000A0A8E">
      <w:pPr>
        <w:pStyle w:val="Paragraphedeliste"/>
        <w:numPr>
          <w:ilvl w:val="0"/>
          <w:numId w:val="14"/>
        </w:numPr>
        <w:spacing w:after="0" w:line="240" w:lineRule="auto"/>
        <w:jc w:val="both"/>
      </w:pPr>
      <w:r w:rsidRPr="000A0A8E">
        <w:t xml:space="preserve">Para </w:t>
      </w:r>
      <w:proofErr w:type="spellStart"/>
      <w:r w:rsidRPr="000A0A8E">
        <w:t>poner</w:t>
      </w:r>
      <w:proofErr w:type="spellEnd"/>
      <w:r w:rsidRPr="000A0A8E">
        <w:t xml:space="preserve"> en </w:t>
      </w:r>
      <w:proofErr w:type="spellStart"/>
      <w:r w:rsidRPr="000A0A8E">
        <w:t>práctica</w:t>
      </w:r>
      <w:proofErr w:type="spellEnd"/>
      <w:r w:rsidRPr="000A0A8E">
        <w:t xml:space="preserve"> la </w:t>
      </w:r>
      <w:proofErr w:type="spellStart"/>
      <w:r w:rsidRPr="000A0A8E">
        <w:t>recomendación</w:t>
      </w:r>
      <w:proofErr w:type="spellEnd"/>
      <w:r w:rsidRPr="000A0A8E">
        <w:t xml:space="preserve"> </w:t>
      </w:r>
      <w:proofErr w:type="spellStart"/>
      <w:r w:rsidRPr="000A0A8E">
        <w:t>precedente</w:t>
      </w:r>
      <w:proofErr w:type="spellEnd"/>
      <w:r w:rsidRPr="000A0A8E">
        <w:t xml:space="preserve">, se </w:t>
      </w:r>
      <w:proofErr w:type="spellStart"/>
      <w:r w:rsidRPr="000A0A8E">
        <w:t>deberá</w:t>
      </w:r>
      <w:proofErr w:type="spellEnd"/>
      <w:r w:rsidRPr="000A0A8E">
        <w:t xml:space="preserve"> </w:t>
      </w:r>
      <w:proofErr w:type="spellStart"/>
      <w:r w:rsidRPr="000A0A8E">
        <w:t>elaborar</w:t>
      </w:r>
      <w:proofErr w:type="spellEnd"/>
      <w:r w:rsidRPr="000A0A8E">
        <w:t xml:space="preserve"> planes de </w:t>
      </w:r>
      <w:proofErr w:type="spellStart"/>
      <w:r w:rsidRPr="000A0A8E">
        <w:t>trabajo</w:t>
      </w:r>
      <w:proofErr w:type="spellEnd"/>
      <w:r w:rsidRPr="000A0A8E">
        <w:t xml:space="preserve"> para </w:t>
      </w:r>
      <w:proofErr w:type="spellStart"/>
      <w:r w:rsidRPr="000A0A8E">
        <w:t>las</w:t>
      </w:r>
      <w:proofErr w:type="spellEnd"/>
      <w:r w:rsidRPr="000A0A8E">
        <w:t xml:space="preserve"> </w:t>
      </w:r>
      <w:proofErr w:type="spellStart"/>
      <w:r w:rsidRPr="000A0A8E">
        <w:t>direcciones</w:t>
      </w:r>
      <w:proofErr w:type="spellEnd"/>
      <w:r w:rsidRPr="000A0A8E">
        <w:t xml:space="preserve"> </w:t>
      </w:r>
      <w:proofErr w:type="spellStart"/>
      <w:r w:rsidRPr="000A0A8E">
        <w:t>técnicas</w:t>
      </w:r>
      <w:proofErr w:type="spellEnd"/>
      <w:r w:rsidRPr="000A0A8E">
        <w:t xml:space="preserve"> </w:t>
      </w:r>
      <w:proofErr w:type="spellStart"/>
      <w:r w:rsidRPr="000A0A8E">
        <w:t>del</w:t>
      </w:r>
      <w:proofErr w:type="spellEnd"/>
      <w:r w:rsidRPr="000A0A8E">
        <w:t xml:space="preserve"> VMDERN que las </w:t>
      </w:r>
      <w:proofErr w:type="spellStart"/>
      <w:r w:rsidRPr="000A0A8E">
        <w:t>lleve</w:t>
      </w:r>
      <w:proofErr w:type="spellEnd"/>
      <w:r w:rsidRPr="000A0A8E">
        <w:t xml:space="preserve"> a </w:t>
      </w:r>
      <w:proofErr w:type="spellStart"/>
      <w:r w:rsidRPr="000A0A8E">
        <w:t>asesorar</w:t>
      </w:r>
      <w:proofErr w:type="spellEnd"/>
      <w:r w:rsidRPr="000A0A8E">
        <w:t xml:space="preserve"> y </w:t>
      </w:r>
      <w:proofErr w:type="spellStart"/>
      <w:r w:rsidRPr="000A0A8E">
        <w:t>acompañar</w:t>
      </w:r>
      <w:proofErr w:type="spellEnd"/>
      <w:r w:rsidRPr="000A0A8E">
        <w:t xml:space="preserve"> con </w:t>
      </w:r>
      <w:proofErr w:type="spellStart"/>
      <w:r w:rsidRPr="000A0A8E">
        <w:t>regularidad</w:t>
      </w:r>
      <w:proofErr w:type="spellEnd"/>
      <w:r w:rsidRPr="000A0A8E">
        <w:t xml:space="preserve"> los GORE, con </w:t>
      </w:r>
      <w:proofErr w:type="spellStart"/>
      <w:r w:rsidRPr="000A0A8E">
        <w:t>aplicaciones</w:t>
      </w:r>
      <w:proofErr w:type="spellEnd"/>
      <w:r w:rsidRPr="000A0A8E">
        <w:t xml:space="preserve"> a </w:t>
      </w:r>
      <w:proofErr w:type="spellStart"/>
      <w:r w:rsidRPr="000A0A8E">
        <w:t>localidades</w:t>
      </w:r>
      <w:proofErr w:type="spellEnd"/>
      <w:r w:rsidRPr="000A0A8E">
        <w:t xml:space="preserve">, </w:t>
      </w:r>
      <w:proofErr w:type="spellStart"/>
      <w:r w:rsidRPr="000A0A8E">
        <w:t>dando</w:t>
      </w:r>
      <w:proofErr w:type="spellEnd"/>
      <w:r w:rsidRPr="000A0A8E">
        <w:t xml:space="preserve"> </w:t>
      </w:r>
      <w:proofErr w:type="spellStart"/>
      <w:r w:rsidRPr="000A0A8E">
        <w:t>prioridad</w:t>
      </w:r>
      <w:proofErr w:type="spellEnd"/>
      <w:r w:rsidRPr="000A0A8E">
        <w:t xml:space="preserve"> al </w:t>
      </w:r>
      <w:proofErr w:type="spellStart"/>
      <w:r w:rsidRPr="000A0A8E">
        <w:t>acompañamiento</w:t>
      </w:r>
      <w:proofErr w:type="spellEnd"/>
      <w:r w:rsidRPr="000A0A8E">
        <w:t xml:space="preserve"> de los </w:t>
      </w:r>
      <w:proofErr w:type="spellStart"/>
      <w:r w:rsidRPr="000A0A8E">
        <w:t>procesos</w:t>
      </w:r>
      <w:proofErr w:type="spellEnd"/>
      <w:r w:rsidRPr="000A0A8E">
        <w:t xml:space="preserve"> </w:t>
      </w:r>
      <w:proofErr w:type="spellStart"/>
      <w:r w:rsidRPr="000A0A8E">
        <w:t>iniciados</w:t>
      </w:r>
      <w:proofErr w:type="spellEnd"/>
      <w:r w:rsidRPr="000A0A8E">
        <w:t xml:space="preserve"> en los </w:t>
      </w:r>
      <w:proofErr w:type="spellStart"/>
      <w:r w:rsidRPr="000A0A8E">
        <w:t>paisajes</w:t>
      </w:r>
      <w:proofErr w:type="spellEnd"/>
      <w:r w:rsidRPr="000A0A8E">
        <w:t xml:space="preserve"> de </w:t>
      </w:r>
      <w:proofErr w:type="spellStart"/>
      <w:r w:rsidRPr="000A0A8E">
        <w:t>concentración</w:t>
      </w:r>
      <w:proofErr w:type="spellEnd"/>
      <w:r w:rsidRPr="000A0A8E">
        <w:t xml:space="preserve"> </w:t>
      </w:r>
      <w:proofErr w:type="spellStart"/>
      <w:r w:rsidRPr="000A0A8E">
        <w:t>del</w:t>
      </w:r>
      <w:proofErr w:type="spellEnd"/>
      <w:r w:rsidRPr="000A0A8E">
        <w:t xml:space="preserve"> PRODERN.</w:t>
      </w:r>
    </w:p>
    <w:p w14:paraId="68239DE3" w14:textId="77777777" w:rsidR="000A0A8E" w:rsidRPr="000A0A8E" w:rsidRDefault="000A0A8E" w:rsidP="000A0A8E">
      <w:pPr>
        <w:pStyle w:val="Paragraphedeliste"/>
        <w:numPr>
          <w:ilvl w:val="0"/>
          <w:numId w:val="14"/>
        </w:numPr>
        <w:spacing w:after="0" w:line="240" w:lineRule="auto"/>
        <w:jc w:val="both"/>
      </w:pPr>
      <w:r w:rsidRPr="000A0A8E">
        <w:t xml:space="preserve">Se </w:t>
      </w:r>
      <w:proofErr w:type="spellStart"/>
      <w:r w:rsidRPr="000A0A8E">
        <w:t>recomienda</w:t>
      </w:r>
      <w:proofErr w:type="spellEnd"/>
      <w:r w:rsidRPr="000A0A8E">
        <w:t xml:space="preserve"> </w:t>
      </w:r>
      <w:proofErr w:type="spellStart"/>
      <w:r w:rsidRPr="000A0A8E">
        <w:t>formular</w:t>
      </w:r>
      <w:proofErr w:type="spellEnd"/>
      <w:r w:rsidRPr="000A0A8E">
        <w:t xml:space="preserve"> </w:t>
      </w:r>
      <w:proofErr w:type="spellStart"/>
      <w:r w:rsidRPr="000A0A8E">
        <w:t>programas</w:t>
      </w:r>
      <w:proofErr w:type="spellEnd"/>
      <w:r w:rsidRPr="000A0A8E">
        <w:t xml:space="preserve"> con </w:t>
      </w:r>
      <w:proofErr w:type="spellStart"/>
      <w:r w:rsidRPr="000A0A8E">
        <w:t>marcadores</w:t>
      </w:r>
      <w:proofErr w:type="spellEnd"/>
      <w:r w:rsidRPr="000A0A8E">
        <w:t xml:space="preserve"> en </w:t>
      </w:r>
      <w:proofErr w:type="spellStart"/>
      <w:r w:rsidRPr="000A0A8E">
        <w:t>varios</w:t>
      </w:r>
      <w:proofErr w:type="spellEnd"/>
      <w:r w:rsidRPr="000A0A8E">
        <w:t xml:space="preserve"> </w:t>
      </w:r>
      <w:proofErr w:type="spellStart"/>
      <w:r w:rsidRPr="000A0A8E">
        <w:t>sectores</w:t>
      </w:r>
      <w:proofErr w:type="spellEnd"/>
      <w:r w:rsidRPr="000A0A8E">
        <w:t xml:space="preserve"> </w:t>
      </w:r>
      <w:proofErr w:type="spellStart"/>
      <w:r w:rsidRPr="000A0A8E">
        <w:t>pero</w:t>
      </w:r>
      <w:proofErr w:type="spellEnd"/>
      <w:r w:rsidRPr="000A0A8E">
        <w:t xml:space="preserve"> sin </w:t>
      </w:r>
      <w:proofErr w:type="spellStart"/>
      <w:r w:rsidRPr="000A0A8E">
        <w:t>administración</w:t>
      </w:r>
      <w:proofErr w:type="spellEnd"/>
      <w:r w:rsidRPr="000A0A8E">
        <w:t xml:space="preserve"> de </w:t>
      </w:r>
      <w:proofErr w:type="spellStart"/>
      <w:r w:rsidRPr="000A0A8E">
        <w:t>fondos</w:t>
      </w:r>
      <w:proofErr w:type="spellEnd"/>
      <w:r w:rsidRPr="000A0A8E">
        <w:t xml:space="preserve"> </w:t>
      </w:r>
      <w:proofErr w:type="spellStart"/>
      <w:r w:rsidRPr="000A0A8E">
        <w:t>compartidos</w:t>
      </w:r>
      <w:proofErr w:type="spellEnd"/>
      <w:r w:rsidRPr="000A0A8E">
        <w:t xml:space="preserve">, </w:t>
      </w:r>
      <w:proofErr w:type="spellStart"/>
      <w:r w:rsidRPr="000A0A8E">
        <w:t>salvo</w:t>
      </w:r>
      <w:proofErr w:type="spellEnd"/>
      <w:r w:rsidRPr="000A0A8E">
        <w:t xml:space="preserve"> </w:t>
      </w:r>
      <w:proofErr w:type="spellStart"/>
      <w:r w:rsidRPr="000A0A8E">
        <w:t>una</w:t>
      </w:r>
      <w:proofErr w:type="spellEnd"/>
      <w:r w:rsidRPr="000A0A8E">
        <w:t xml:space="preserve"> </w:t>
      </w:r>
      <w:proofErr w:type="spellStart"/>
      <w:r w:rsidRPr="000A0A8E">
        <w:t>pequeña</w:t>
      </w:r>
      <w:proofErr w:type="spellEnd"/>
      <w:r w:rsidRPr="000A0A8E">
        <w:t xml:space="preserve"> </w:t>
      </w:r>
      <w:proofErr w:type="spellStart"/>
      <w:r w:rsidRPr="000A0A8E">
        <w:t>unidad</w:t>
      </w:r>
      <w:proofErr w:type="spellEnd"/>
      <w:r w:rsidRPr="000A0A8E">
        <w:t xml:space="preserve"> </w:t>
      </w:r>
      <w:proofErr w:type="spellStart"/>
      <w:r w:rsidRPr="000A0A8E">
        <w:t>enlazando</w:t>
      </w:r>
      <w:proofErr w:type="spellEnd"/>
      <w:r w:rsidRPr="000A0A8E">
        <w:t xml:space="preserve"> el </w:t>
      </w:r>
      <w:proofErr w:type="spellStart"/>
      <w:r w:rsidRPr="000A0A8E">
        <w:t>trabajo</w:t>
      </w:r>
      <w:proofErr w:type="spellEnd"/>
      <w:r w:rsidRPr="000A0A8E">
        <w:t xml:space="preserve"> de las OPMI de los </w:t>
      </w:r>
      <w:proofErr w:type="spellStart"/>
      <w:r w:rsidRPr="000A0A8E">
        <w:t>ejecutores</w:t>
      </w:r>
      <w:proofErr w:type="spellEnd"/>
      <w:r w:rsidRPr="000A0A8E">
        <w:t>.</w:t>
      </w:r>
    </w:p>
    <w:p w14:paraId="396CEEA6" w14:textId="77777777" w:rsidR="000A0A8E" w:rsidRPr="000A0A8E" w:rsidRDefault="000A0A8E" w:rsidP="000A0A8E">
      <w:pPr>
        <w:pStyle w:val="Paragraphedeliste"/>
        <w:numPr>
          <w:ilvl w:val="0"/>
          <w:numId w:val="14"/>
        </w:numPr>
        <w:spacing w:after="0" w:line="240" w:lineRule="auto"/>
        <w:jc w:val="both"/>
      </w:pPr>
      <w:r w:rsidRPr="000A0A8E">
        <w:t xml:space="preserve">Se </w:t>
      </w:r>
      <w:proofErr w:type="spellStart"/>
      <w:r w:rsidRPr="000A0A8E">
        <w:t>recomienda</w:t>
      </w:r>
      <w:proofErr w:type="spellEnd"/>
      <w:r w:rsidRPr="000A0A8E">
        <w:t xml:space="preserve"> en </w:t>
      </w:r>
      <w:proofErr w:type="spellStart"/>
      <w:r w:rsidRPr="000A0A8E">
        <w:t>particular</w:t>
      </w:r>
      <w:proofErr w:type="spellEnd"/>
      <w:r w:rsidRPr="000A0A8E">
        <w:t xml:space="preserve"> </w:t>
      </w:r>
      <w:proofErr w:type="spellStart"/>
      <w:r w:rsidRPr="000A0A8E">
        <w:t>desarrollar</w:t>
      </w:r>
      <w:proofErr w:type="spellEnd"/>
      <w:r w:rsidRPr="000A0A8E">
        <w:t xml:space="preserve"> un </w:t>
      </w:r>
      <w:proofErr w:type="spellStart"/>
      <w:r w:rsidRPr="000A0A8E">
        <w:t>programa</w:t>
      </w:r>
      <w:proofErr w:type="spellEnd"/>
      <w:r w:rsidRPr="000A0A8E">
        <w:t xml:space="preserve"> para la </w:t>
      </w:r>
      <w:proofErr w:type="spellStart"/>
      <w:r w:rsidRPr="000A0A8E">
        <w:t>recuperación</w:t>
      </w:r>
      <w:proofErr w:type="spellEnd"/>
      <w:r w:rsidRPr="000A0A8E">
        <w:t xml:space="preserve"> de las </w:t>
      </w:r>
      <w:proofErr w:type="spellStart"/>
      <w:r w:rsidRPr="000A0A8E">
        <w:t>pasturas</w:t>
      </w:r>
      <w:proofErr w:type="spellEnd"/>
      <w:r w:rsidRPr="000A0A8E">
        <w:t xml:space="preserve"> </w:t>
      </w:r>
      <w:proofErr w:type="spellStart"/>
      <w:r w:rsidRPr="000A0A8E">
        <w:t>altoandinas</w:t>
      </w:r>
      <w:proofErr w:type="spellEnd"/>
      <w:r w:rsidRPr="000A0A8E">
        <w:t xml:space="preserve">, </w:t>
      </w:r>
      <w:proofErr w:type="spellStart"/>
      <w:r w:rsidRPr="000A0A8E">
        <w:t>por</w:t>
      </w:r>
      <w:proofErr w:type="spellEnd"/>
      <w:r w:rsidRPr="000A0A8E">
        <w:t xml:space="preserve"> la </w:t>
      </w:r>
      <w:proofErr w:type="spellStart"/>
      <w:r w:rsidRPr="000A0A8E">
        <w:t>importancia</w:t>
      </w:r>
      <w:proofErr w:type="spellEnd"/>
      <w:r w:rsidRPr="000A0A8E">
        <w:t xml:space="preserve"> </w:t>
      </w:r>
      <w:proofErr w:type="spellStart"/>
      <w:r w:rsidRPr="000A0A8E">
        <w:t>estratégica</w:t>
      </w:r>
      <w:proofErr w:type="spellEnd"/>
      <w:r w:rsidRPr="000A0A8E">
        <w:t xml:space="preserve"> que </w:t>
      </w:r>
      <w:proofErr w:type="spellStart"/>
      <w:r w:rsidRPr="000A0A8E">
        <w:t>tienen</w:t>
      </w:r>
      <w:proofErr w:type="spellEnd"/>
      <w:r w:rsidRPr="000A0A8E">
        <w:t xml:space="preserve"> en la </w:t>
      </w:r>
      <w:proofErr w:type="spellStart"/>
      <w:r w:rsidRPr="000A0A8E">
        <w:t>cosecha</w:t>
      </w:r>
      <w:proofErr w:type="spellEnd"/>
      <w:r w:rsidRPr="000A0A8E">
        <w:t xml:space="preserve"> de </w:t>
      </w:r>
      <w:proofErr w:type="spellStart"/>
      <w:r w:rsidRPr="000A0A8E">
        <w:t>agua</w:t>
      </w:r>
      <w:proofErr w:type="spellEnd"/>
      <w:r w:rsidRPr="000A0A8E">
        <w:t xml:space="preserve"> a </w:t>
      </w:r>
      <w:proofErr w:type="spellStart"/>
      <w:r w:rsidRPr="000A0A8E">
        <w:t>nivel</w:t>
      </w:r>
      <w:proofErr w:type="spellEnd"/>
      <w:r w:rsidRPr="000A0A8E">
        <w:t xml:space="preserve"> </w:t>
      </w:r>
      <w:proofErr w:type="spellStart"/>
      <w:r w:rsidRPr="000A0A8E">
        <w:t>nacional</w:t>
      </w:r>
      <w:proofErr w:type="spellEnd"/>
      <w:r w:rsidRPr="000A0A8E">
        <w:t>.</w:t>
      </w:r>
    </w:p>
    <w:p w14:paraId="230C2056" w14:textId="77777777" w:rsidR="000A0A8E" w:rsidRPr="000A0A8E" w:rsidRDefault="000A0A8E" w:rsidP="000A0A8E">
      <w:pPr>
        <w:pStyle w:val="Paragraphedeliste"/>
        <w:numPr>
          <w:ilvl w:val="0"/>
          <w:numId w:val="14"/>
        </w:numPr>
        <w:spacing w:after="0" w:line="240" w:lineRule="auto"/>
        <w:jc w:val="both"/>
      </w:pPr>
      <w:r w:rsidRPr="000A0A8E">
        <w:t xml:space="preserve">El MINAM </w:t>
      </w:r>
      <w:proofErr w:type="spellStart"/>
      <w:r w:rsidRPr="000A0A8E">
        <w:t>debería</w:t>
      </w:r>
      <w:proofErr w:type="spellEnd"/>
      <w:r w:rsidRPr="000A0A8E">
        <w:t xml:space="preserve"> </w:t>
      </w:r>
      <w:proofErr w:type="spellStart"/>
      <w:r w:rsidRPr="000A0A8E">
        <w:t>impulsar</w:t>
      </w:r>
      <w:proofErr w:type="spellEnd"/>
      <w:r w:rsidRPr="000A0A8E">
        <w:t xml:space="preserve"> con el </w:t>
      </w:r>
      <w:proofErr w:type="spellStart"/>
      <w:r w:rsidRPr="000A0A8E">
        <w:t>apoyo</w:t>
      </w:r>
      <w:proofErr w:type="spellEnd"/>
      <w:r w:rsidRPr="000A0A8E">
        <w:t xml:space="preserve"> </w:t>
      </w:r>
      <w:proofErr w:type="spellStart"/>
      <w:r w:rsidRPr="000A0A8E">
        <w:t>remanente</w:t>
      </w:r>
      <w:proofErr w:type="spellEnd"/>
      <w:r w:rsidRPr="000A0A8E">
        <w:t xml:space="preserve"> de la </w:t>
      </w:r>
      <w:proofErr w:type="spellStart"/>
      <w:r w:rsidRPr="000A0A8E">
        <w:t>cooperación</w:t>
      </w:r>
      <w:proofErr w:type="spellEnd"/>
      <w:r w:rsidRPr="000A0A8E">
        <w:t xml:space="preserve"> </w:t>
      </w:r>
      <w:proofErr w:type="spellStart"/>
      <w:r w:rsidRPr="000A0A8E">
        <w:t>belga</w:t>
      </w:r>
      <w:proofErr w:type="spellEnd"/>
      <w:r w:rsidRPr="000A0A8E">
        <w:t xml:space="preserve"> un </w:t>
      </w:r>
      <w:proofErr w:type="spellStart"/>
      <w:r w:rsidRPr="000A0A8E">
        <w:t>foro</w:t>
      </w:r>
      <w:proofErr w:type="spellEnd"/>
      <w:r w:rsidRPr="000A0A8E">
        <w:t xml:space="preserve"> </w:t>
      </w:r>
      <w:proofErr w:type="spellStart"/>
      <w:r w:rsidRPr="000A0A8E">
        <w:t>específico</w:t>
      </w:r>
      <w:proofErr w:type="spellEnd"/>
      <w:r w:rsidRPr="000A0A8E">
        <w:t xml:space="preserve"> sobre los </w:t>
      </w:r>
      <w:proofErr w:type="spellStart"/>
      <w:r w:rsidRPr="000A0A8E">
        <w:t>aprendizajes</w:t>
      </w:r>
      <w:proofErr w:type="spellEnd"/>
      <w:r w:rsidRPr="000A0A8E">
        <w:t xml:space="preserve"> en el </w:t>
      </w:r>
      <w:proofErr w:type="spellStart"/>
      <w:r w:rsidRPr="000A0A8E">
        <w:t>tema</w:t>
      </w:r>
      <w:proofErr w:type="spellEnd"/>
      <w:r w:rsidRPr="000A0A8E">
        <w:t xml:space="preserve"> de MRSE que </w:t>
      </w:r>
      <w:proofErr w:type="spellStart"/>
      <w:r w:rsidRPr="000A0A8E">
        <w:t>podría</w:t>
      </w:r>
      <w:proofErr w:type="spellEnd"/>
      <w:r w:rsidRPr="000A0A8E">
        <w:t xml:space="preserve"> </w:t>
      </w:r>
      <w:proofErr w:type="spellStart"/>
      <w:r w:rsidRPr="000A0A8E">
        <w:t>mantener</w:t>
      </w:r>
      <w:proofErr w:type="spellEnd"/>
      <w:r w:rsidRPr="000A0A8E">
        <w:t xml:space="preserve"> </w:t>
      </w:r>
      <w:proofErr w:type="spellStart"/>
      <w:r w:rsidRPr="000A0A8E">
        <w:t>como</w:t>
      </w:r>
      <w:proofErr w:type="spellEnd"/>
      <w:r w:rsidRPr="000A0A8E">
        <w:t xml:space="preserve"> comité </w:t>
      </w:r>
      <w:proofErr w:type="spellStart"/>
      <w:r w:rsidRPr="000A0A8E">
        <w:t>asesor</w:t>
      </w:r>
      <w:proofErr w:type="spellEnd"/>
      <w:r w:rsidRPr="000A0A8E">
        <w:t xml:space="preserve">, en el </w:t>
      </w:r>
      <w:proofErr w:type="spellStart"/>
      <w:r w:rsidRPr="000A0A8E">
        <w:t>cual</w:t>
      </w:r>
      <w:proofErr w:type="spellEnd"/>
      <w:r w:rsidRPr="000A0A8E">
        <w:t xml:space="preserve"> </w:t>
      </w:r>
      <w:proofErr w:type="spellStart"/>
      <w:r w:rsidRPr="000A0A8E">
        <w:t>participaría</w:t>
      </w:r>
      <w:proofErr w:type="spellEnd"/>
      <w:r w:rsidRPr="000A0A8E">
        <w:t xml:space="preserve"> la SUNASS y la ANA.</w:t>
      </w:r>
    </w:p>
    <w:p w14:paraId="23414867" w14:textId="77777777" w:rsidR="000A0A8E" w:rsidRPr="000A0A8E" w:rsidRDefault="000A0A8E" w:rsidP="000A0A8E">
      <w:pPr>
        <w:pStyle w:val="Paragraphedeliste"/>
        <w:numPr>
          <w:ilvl w:val="0"/>
          <w:numId w:val="14"/>
        </w:numPr>
        <w:spacing w:after="0" w:line="240" w:lineRule="auto"/>
        <w:jc w:val="both"/>
      </w:pPr>
      <w:r w:rsidRPr="000A0A8E">
        <w:t xml:space="preserve">En el </w:t>
      </w:r>
      <w:proofErr w:type="spellStart"/>
      <w:r w:rsidRPr="000A0A8E">
        <w:t>tema</w:t>
      </w:r>
      <w:proofErr w:type="spellEnd"/>
      <w:r w:rsidRPr="000A0A8E">
        <w:t xml:space="preserve"> </w:t>
      </w:r>
      <w:proofErr w:type="spellStart"/>
      <w:r w:rsidRPr="000A0A8E">
        <w:t>específico</w:t>
      </w:r>
      <w:proofErr w:type="spellEnd"/>
      <w:r w:rsidRPr="000A0A8E">
        <w:t xml:space="preserve"> </w:t>
      </w:r>
      <w:proofErr w:type="spellStart"/>
      <w:r w:rsidRPr="000A0A8E">
        <w:t>del</w:t>
      </w:r>
      <w:proofErr w:type="spellEnd"/>
      <w:r w:rsidRPr="000A0A8E">
        <w:t xml:space="preserve"> OT, se </w:t>
      </w:r>
      <w:proofErr w:type="spellStart"/>
      <w:r w:rsidRPr="000A0A8E">
        <w:t>recomienda</w:t>
      </w:r>
      <w:proofErr w:type="spellEnd"/>
      <w:r w:rsidRPr="000A0A8E">
        <w:t xml:space="preserve"> </w:t>
      </w:r>
      <w:proofErr w:type="spellStart"/>
      <w:r w:rsidRPr="000A0A8E">
        <w:t>llevar</w:t>
      </w:r>
      <w:proofErr w:type="spellEnd"/>
      <w:r w:rsidRPr="000A0A8E">
        <w:t xml:space="preserve"> los </w:t>
      </w:r>
      <w:proofErr w:type="spellStart"/>
      <w:r w:rsidRPr="000A0A8E">
        <w:t>mapas</w:t>
      </w:r>
      <w:proofErr w:type="spellEnd"/>
      <w:r w:rsidRPr="000A0A8E">
        <w:t xml:space="preserve"> de la micro-ZEE a </w:t>
      </w:r>
      <w:proofErr w:type="spellStart"/>
      <w:r w:rsidRPr="000A0A8E">
        <w:t>una</w:t>
      </w:r>
      <w:proofErr w:type="spellEnd"/>
      <w:r w:rsidRPr="000A0A8E">
        <w:t xml:space="preserve"> escala que </w:t>
      </w:r>
      <w:proofErr w:type="spellStart"/>
      <w:r w:rsidRPr="000A0A8E">
        <w:t>sea</w:t>
      </w:r>
      <w:proofErr w:type="spellEnd"/>
      <w:r w:rsidRPr="000A0A8E">
        <w:t xml:space="preserve"> </w:t>
      </w:r>
      <w:proofErr w:type="spellStart"/>
      <w:r w:rsidRPr="000A0A8E">
        <w:t>asimilable</w:t>
      </w:r>
      <w:proofErr w:type="spellEnd"/>
      <w:r w:rsidRPr="000A0A8E">
        <w:t xml:space="preserve"> para </w:t>
      </w:r>
      <w:proofErr w:type="spellStart"/>
      <w:r w:rsidRPr="000A0A8E">
        <w:t>las</w:t>
      </w:r>
      <w:proofErr w:type="spellEnd"/>
      <w:r w:rsidRPr="000A0A8E">
        <w:t xml:space="preserve"> </w:t>
      </w:r>
      <w:proofErr w:type="spellStart"/>
      <w:r w:rsidRPr="000A0A8E">
        <w:t>comunidades</w:t>
      </w:r>
      <w:proofErr w:type="spellEnd"/>
      <w:r w:rsidRPr="000A0A8E">
        <w:t xml:space="preserve"> </w:t>
      </w:r>
      <w:proofErr w:type="spellStart"/>
      <w:r w:rsidRPr="000A0A8E">
        <w:t>campesinas</w:t>
      </w:r>
      <w:proofErr w:type="spellEnd"/>
      <w:r w:rsidRPr="000A0A8E">
        <w:t xml:space="preserve"> y </w:t>
      </w:r>
      <w:proofErr w:type="spellStart"/>
      <w:r w:rsidRPr="000A0A8E">
        <w:t>nativas</w:t>
      </w:r>
      <w:proofErr w:type="spellEnd"/>
      <w:r w:rsidRPr="000A0A8E">
        <w:t>..</w:t>
      </w:r>
    </w:p>
    <w:p w14:paraId="1A8363FF" w14:textId="77777777" w:rsidR="000A0A8E" w:rsidRPr="000A0A8E" w:rsidRDefault="000A0A8E" w:rsidP="000A0A8E">
      <w:pPr>
        <w:pStyle w:val="Paragraphedeliste"/>
        <w:numPr>
          <w:ilvl w:val="0"/>
          <w:numId w:val="14"/>
        </w:numPr>
        <w:spacing w:after="0" w:line="240" w:lineRule="auto"/>
        <w:jc w:val="both"/>
      </w:pPr>
      <w:r w:rsidRPr="000A0A8E">
        <w:t xml:space="preserve">En el </w:t>
      </w:r>
      <w:proofErr w:type="spellStart"/>
      <w:r w:rsidRPr="000A0A8E">
        <w:t>tema</w:t>
      </w:r>
      <w:proofErr w:type="spellEnd"/>
      <w:r w:rsidRPr="000A0A8E">
        <w:t xml:space="preserve"> </w:t>
      </w:r>
      <w:proofErr w:type="spellStart"/>
      <w:r w:rsidRPr="000A0A8E">
        <w:t>específico</w:t>
      </w:r>
      <w:proofErr w:type="spellEnd"/>
      <w:r w:rsidRPr="000A0A8E">
        <w:t xml:space="preserve"> de la </w:t>
      </w:r>
      <w:proofErr w:type="spellStart"/>
      <w:r w:rsidRPr="000A0A8E">
        <w:t>agrobiodiversidad</w:t>
      </w:r>
      <w:proofErr w:type="spellEnd"/>
      <w:r w:rsidRPr="000A0A8E">
        <w:t xml:space="preserve">, </w:t>
      </w:r>
      <w:proofErr w:type="spellStart"/>
      <w:r w:rsidRPr="000A0A8E">
        <w:t>establecer</w:t>
      </w:r>
      <w:proofErr w:type="spellEnd"/>
      <w:r w:rsidRPr="000A0A8E">
        <w:t xml:space="preserve"> un </w:t>
      </w:r>
      <w:proofErr w:type="spellStart"/>
      <w:r w:rsidRPr="000A0A8E">
        <w:t>mecanismo</w:t>
      </w:r>
      <w:proofErr w:type="spellEnd"/>
      <w:r w:rsidRPr="000A0A8E">
        <w:t xml:space="preserve"> </w:t>
      </w:r>
      <w:proofErr w:type="spellStart"/>
      <w:r w:rsidRPr="000A0A8E">
        <w:t>fluido</w:t>
      </w:r>
      <w:proofErr w:type="spellEnd"/>
      <w:r w:rsidRPr="000A0A8E">
        <w:t xml:space="preserve"> y permanente de </w:t>
      </w:r>
      <w:proofErr w:type="spellStart"/>
      <w:r w:rsidRPr="000A0A8E">
        <w:t>trabajo</w:t>
      </w:r>
      <w:proofErr w:type="spellEnd"/>
      <w:r w:rsidRPr="000A0A8E">
        <w:t xml:space="preserve"> con el MINAGRI.</w:t>
      </w:r>
    </w:p>
    <w:p w14:paraId="3D9FF98A" w14:textId="77777777" w:rsidR="000A0A8E" w:rsidRPr="000A0A8E" w:rsidRDefault="000A0A8E" w:rsidP="000A0A8E">
      <w:pPr>
        <w:pStyle w:val="Paragraphedeliste"/>
        <w:numPr>
          <w:ilvl w:val="0"/>
          <w:numId w:val="14"/>
        </w:numPr>
        <w:spacing w:after="0" w:line="240" w:lineRule="auto"/>
        <w:jc w:val="both"/>
      </w:pPr>
      <w:proofErr w:type="spellStart"/>
      <w:r w:rsidRPr="000A0A8E">
        <w:t>Desarrollar</w:t>
      </w:r>
      <w:proofErr w:type="spellEnd"/>
      <w:r w:rsidRPr="000A0A8E">
        <w:t xml:space="preserve"> en </w:t>
      </w:r>
      <w:proofErr w:type="spellStart"/>
      <w:r w:rsidRPr="000A0A8E">
        <w:t>conjunto</w:t>
      </w:r>
      <w:proofErr w:type="spellEnd"/>
      <w:r w:rsidRPr="000A0A8E">
        <w:t xml:space="preserve"> con el MINEDU un </w:t>
      </w:r>
      <w:proofErr w:type="spellStart"/>
      <w:r w:rsidRPr="000A0A8E">
        <w:t>programa</w:t>
      </w:r>
      <w:proofErr w:type="spellEnd"/>
      <w:r w:rsidRPr="000A0A8E">
        <w:t xml:space="preserve"> </w:t>
      </w:r>
      <w:proofErr w:type="spellStart"/>
      <w:r w:rsidRPr="000A0A8E">
        <w:t>amplio</w:t>
      </w:r>
      <w:proofErr w:type="spellEnd"/>
      <w:r w:rsidRPr="000A0A8E">
        <w:t xml:space="preserve"> de </w:t>
      </w:r>
      <w:proofErr w:type="spellStart"/>
      <w:r w:rsidRPr="000A0A8E">
        <w:t>educación</w:t>
      </w:r>
      <w:proofErr w:type="spellEnd"/>
      <w:r w:rsidRPr="000A0A8E">
        <w:t xml:space="preserve"> </w:t>
      </w:r>
      <w:proofErr w:type="spellStart"/>
      <w:r w:rsidRPr="000A0A8E">
        <w:t>ambiental</w:t>
      </w:r>
      <w:proofErr w:type="spellEnd"/>
      <w:r w:rsidRPr="000A0A8E">
        <w:t>.</w:t>
      </w:r>
    </w:p>
    <w:p w14:paraId="3D34FD0C" w14:textId="77777777" w:rsidR="000A0A8E" w:rsidRDefault="000A0A8E" w:rsidP="000A0A8E">
      <w:pPr>
        <w:rPr>
          <w:i/>
        </w:rPr>
      </w:pPr>
    </w:p>
    <w:p w14:paraId="34DC8E00" w14:textId="77777777" w:rsidR="000A0A8E" w:rsidRPr="000A0A8E" w:rsidRDefault="000A0A8E" w:rsidP="000A0A8E">
      <w:pPr>
        <w:rPr>
          <w:b/>
          <w:i/>
          <w:color w:val="404040"/>
          <w:lang w:val="es-BO"/>
        </w:rPr>
      </w:pPr>
      <w:proofErr w:type="spellStart"/>
      <w:r w:rsidRPr="000A0A8E">
        <w:rPr>
          <w:b/>
          <w:i/>
          <w:color w:val="404040"/>
        </w:rPr>
        <w:t>Recomendaciones</w:t>
      </w:r>
      <w:proofErr w:type="spellEnd"/>
      <w:r w:rsidRPr="000A0A8E">
        <w:rPr>
          <w:b/>
          <w:i/>
          <w:color w:val="404040"/>
        </w:rPr>
        <w:t xml:space="preserve"> a</w:t>
      </w:r>
      <w:r w:rsidRPr="000A0A8E">
        <w:rPr>
          <w:b/>
          <w:i/>
          <w:color w:val="404040"/>
          <w:lang w:val="es-BO"/>
        </w:rPr>
        <w:t xml:space="preserve"> A los GORE </w:t>
      </w:r>
    </w:p>
    <w:p w14:paraId="0C406B46" w14:textId="77777777" w:rsidR="000A0A8E" w:rsidRPr="000A0A8E" w:rsidRDefault="000A0A8E" w:rsidP="000A0A8E">
      <w:pPr>
        <w:pStyle w:val="Paragraphedeliste"/>
        <w:numPr>
          <w:ilvl w:val="0"/>
          <w:numId w:val="14"/>
        </w:numPr>
        <w:spacing w:after="0" w:line="240" w:lineRule="auto"/>
        <w:jc w:val="both"/>
      </w:pPr>
      <w:r w:rsidRPr="000A0A8E">
        <w:t xml:space="preserve">A </w:t>
      </w:r>
      <w:proofErr w:type="spellStart"/>
      <w:r w:rsidRPr="000A0A8E">
        <w:t>las</w:t>
      </w:r>
      <w:proofErr w:type="spellEnd"/>
      <w:r w:rsidRPr="000A0A8E">
        <w:t xml:space="preserve"> </w:t>
      </w:r>
      <w:proofErr w:type="spellStart"/>
      <w:r w:rsidRPr="000A0A8E">
        <w:t>autoridades</w:t>
      </w:r>
      <w:proofErr w:type="spellEnd"/>
      <w:r w:rsidRPr="000A0A8E">
        <w:t xml:space="preserve"> </w:t>
      </w:r>
      <w:proofErr w:type="spellStart"/>
      <w:r w:rsidRPr="000A0A8E">
        <w:t>salientes</w:t>
      </w:r>
      <w:proofErr w:type="spellEnd"/>
      <w:r w:rsidRPr="000A0A8E">
        <w:t xml:space="preserve">, se </w:t>
      </w:r>
      <w:proofErr w:type="spellStart"/>
      <w:r w:rsidRPr="000A0A8E">
        <w:t>recomienda</w:t>
      </w:r>
      <w:proofErr w:type="spellEnd"/>
      <w:r w:rsidRPr="000A0A8E">
        <w:t xml:space="preserve"> que den </w:t>
      </w:r>
      <w:proofErr w:type="spellStart"/>
      <w:r w:rsidRPr="000A0A8E">
        <w:t>acceso</w:t>
      </w:r>
      <w:proofErr w:type="spellEnd"/>
      <w:r w:rsidRPr="000A0A8E">
        <w:t xml:space="preserve"> a los </w:t>
      </w:r>
      <w:proofErr w:type="spellStart"/>
      <w:r w:rsidRPr="000A0A8E">
        <w:t>candidatos</w:t>
      </w:r>
      <w:proofErr w:type="spellEnd"/>
      <w:r w:rsidRPr="000A0A8E">
        <w:t xml:space="preserve"> y </w:t>
      </w:r>
      <w:proofErr w:type="spellStart"/>
      <w:r w:rsidRPr="000A0A8E">
        <w:t>luego</w:t>
      </w:r>
      <w:proofErr w:type="spellEnd"/>
      <w:r w:rsidRPr="000A0A8E">
        <w:t xml:space="preserve"> a las </w:t>
      </w:r>
      <w:proofErr w:type="spellStart"/>
      <w:r w:rsidRPr="000A0A8E">
        <w:t>autoridades</w:t>
      </w:r>
      <w:proofErr w:type="spellEnd"/>
      <w:r w:rsidRPr="000A0A8E">
        <w:t xml:space="preserve"> </w:t>
      </w:r>
      <w:proofErr w:type="spellStart"/>
      <w:r w:rsidRPr="000A0A8E">
        <w:t>electas</w:t>
      </w:r>
      <w:proofErr w:type="spellEnd"/>
      <w:r w:rsidRPr="000A0A8E">
        <w:t xml:space="preserve"> a </w:t>
      </w:r>
      <w:proofErr w:type="spellStart"/>
      <w:r w:rsidRPr="000A0A8E">
        <w:t>toda</w:t>
      </w:r>
      <w:proofErr w:type="spellEnd"/>
      <w:r w:rsidRPr="000A0A8E">
        <w:t xml:space="preserve"> la </w:t>
      </w:r>
      <w:proofErr w:type="spellStart"/>
      <w:r w:rsidRPr="000A0A8E">
        <w:t>información</w:t>
      </w:r>
      <w:proofErr w:type="spellEnd"/>
      <w:r w:rsidRPr="000A0A8E">
        <w:t xml:space="preserve"> </w:t>
      </w:r>
      <w:proofErr w:type="spellStart"/>
      <w:r w:rsidRPr="000A0A8E">
        <w:t>práctica</w:t>
      </w:r>
      <w:proofErr w:type="spellEnd"/>
      <w:r w:rsidRPr="000A0A8E">
        <w:t xml:space="preserve"> </w:t>
      </w:r>
      <w:proofErr w:type="spellStart"/>
      <w:r w:rsidRPr="000A0A8E">
        <w:t>relevante</w:t>
      </w:r>
      <w:proofErr w:type="spellEnd"/>
      <w:r w:rsidRPr="000A0A8E">
        <w:t xml:space="preserve"> para la </w:t>
      </w:r>
      <w:proofErr w:type="spellStart"/>
      <w:r w:rsidRPr="000A0A8E">
        <w:t>continuidad</w:t>
      </w:r>
      <w:proofErr w:type="spellEnd"/>
      <w:r w:rsidRPr="000A0A8E">
        <w:t xml:space="preserve"> de los </w:t>
      </w:r>
      <w:proofErr w:type="spellStart"/>
      <w:r w:rsidRPr="000A0A8E">
        <w:t>procesos</w:t>
      </w:r>
      <w:proofErr w:type="spellEnd"/>
      <w:r w:rsidRPr="000A0A8E">
        <w:t xml:space="preserve"> en </w:t>
      </w:r>
      <w:proofErr w:type="spellStart"/>
      <w:r w:rsidRPr="000A0A8E">
        <w:t>curso</w:t>
      </w:r>
      <w:proofErr w:type="spellEnd"/>
      <w:r w:rsidRPr="000A0A8E">
        <w:t>.</w:t>
      </w:r>
    </w:p>
    <w:p w14:paraId="1E6004AB" w14:textId="77777777" w:rsidR="000A0A8E" w:rsidRPr="000A0A8E" w:rsidRDefault="000A0A8E" w:rsidP="000A0A8E">
      <w:pPr>
        <w:pStyle w:val="Paragraphedeliste"/>
        <w:numPr>
          <w:ilvl w:val="0"/>
          <w:numId w:val="14"/>
        </w:numPr>
        <w:spacing w:after="0" w:line="240" w:lineRule="auto"/>
        <w:jc w:val="both"/>
      </w:pPr>
      <w:r w:rsidRPr="000A0A8E">
        <w:t xml:space="preserve">A </w:t>
      </w:r>
      <w:proofErr w:type="spellStart"/>
      <w:r w:rsidRPr="000A0A8E">
        <w:t>las</w:t>
      </w:r>
      <w:proofErr w:type="spellEnd"/>
      <w:r w:rsidRPr="000A0A8E">
        <w:t xml:space="preserve"> </w:t>
      </w:r>
      <w:proofErr w:type="spellStart"/>
      <w:r w:rsidRPr="000A0A8E">
        <w:t>nuevas</w:t>
      </w:r>
      <w:proofErr w:type="spellEnd"/>
      <w:r w:rsidRPr="000A0A8E">
        <w:t xml:space="preserve"> </w:t>
      </w:r>
      <w:proofErr w:type="spellStart"/>
      <w:r w:rsidRPr="000A0A8E">
        <w:t>autoridades</w:t>
      </w:r>
      <w:proofErr w:type="spellEnd"/>
      <w:r w:rsidRPr="000A0A8E">
        <w:t xml:space="preserve"> que </w:t>
      </w:r>
      <w:proofErr w:type="spellStart"/>
      <w:r w:rsidRPr="000A0A8E">
        <w:t>retomen</w:t>
      </w:r>
      <w:proofErr w:type="spellEnd"/>
      <w:r w:rsidRPr="000A0A8E">
        <w:t xml:space="preserve"> los </w:t>
      </w:r>
      <w:proofErr w:type="spellStart"/>
      <w:r w:rsidRPr="000A0A8E">
        <w:t>procesos</w:t>
      </w:r>
      <w:proofErr w:type="spellEnd"/>
      <w:r w:rsidRPr="000A0A8E">
        <w:t xml:space="preserve"> en </w:t>
      </w:r>
      <w:proofErr w:type="spellStart"/>
      <w:r w:rsidRPr="000A0A8E">
        <w:t>curso</w:t>
      </w:r>
      <w:proofErr w:type="spellEnd"/>
      <w:r w:rsidRPr="000A0A8E">
        <w:t xml:space="preserve">, y con </w:t>
      </w:r>
      <w:proofErr w:type="spellStart"/>
      <w:r w:rsidRPr="000A0A8E">
        <w:t>más</w:t>
      </w:r>
      <w:proofErr w:type="spellEnd"/>
      <w:r w:rsidRPr="000A0A8E">
        <w:t xml:space="preserve"> </w:t>
      </w:r>
      <w:proofErr w:type="spellStart"/>
      <w:r w:rsidRPr="000A0A8E">
        <w:t>beligerancia</w:t>
      </w:r>
      <w:proofErr w:type="spellEnd"/>
      <w:r w:rsidRPr="000A0A8E">
        <w:t xml:space="preserve"> que sus </w:t>
      </w:r>
      <w:proofErr w:type="spellStart"/>
      <w:r w:rsidRPr="000A0A8E">
        <w:t>predecesores</w:t>
      </w:r>
      <w:proofErr w:type="spellEnd"/>
      <w:r w:rsidRPr="000A0A8E">
        <w:t xml:space="preserve">, </w:t>
      </w:r>
      <w:proofErr w:type="spellStart"/>
      <w:r w:rsidRPr="000A0A8E">
        <w:t>hagan</w:t>
      </w:r>
      <w:proofErr w:type="spellEnd"/>
      <w:r w:rsidRPr="000A0A8E">
        <w:t xml:space="preserve"> </w:t>
      </w:r>
      <w:proofErr w:type="spellStart"/>
      <w:r w:rsidRPr="000A0A8E">
        <w:t>énfasis</w:t>
      </w:r>
      <w:proofErr w:type="spellEnd"/>
      <w:r w:rsidRPr="000A0A8E">
        <w:t xml:space="preserve"> en los </w:t>
      </w:r>
      <w:proofErr w:type="spellStart"/>
      <w:r w:rsidRPr="000A0A8E">
        <w:t>programas</w:t>
      </w:r>
      <w:proofErr w:type="spellEnd"/>
      <w:r w:rsidRPr="000A0A8E">
        <w:t xml:space="preserve"> </w:t>
      </w:r>
      <w:proofErr w:type="spellStart"/>
      <w:r w:rsidRPr="000A0A8E">
        <w:t>presupuestales</w:t>
      </w:r>
      <w:proofErr w:type="spellEnd"/>
      <w:r w:rsidRPr="000A0A8E">
        <w:t xml:space="preserve">, </w:t>
      </w:r>
      <w:proofErr w:type="spellStart"/>
      <w:r w:rsidRPr="000A0A8E">
        <w:t>demandando</w:t>
      </w:r>
      <w:proofErr w:type="spellEnd"/>
      <w:r w:rsidRPr="000A0A8E">
        <w:t xml:space="preserve"> a MINAM un </w:t>
      </w:r>
      <w:proofErr w:type="spellStart"/>
      <w:r w:rsidRPr="000A0A8E">
        <w:t>apoyo</w:t>
      </w:r>
      <w:proofErr w:type="spellEnd"/>
      <w:r w:rsidRPr="000A0A8E">
        <w:t xml:space="preserve"> la </w:t>
      </w:r>
      <w:proofErr w:type="spellStart"/>
      <w:r w:rsidRPr="000A0A8E">
        <w:t>determinación</w:t>
      </w:r>
      <w:proofErr w:type="spellEnd"/>
      <w:r w:rsidRPr="000A0A8E">
        <w:t xml:space="preserve"> de las </w:t>
      </w:r>
      <w:proofErr w:type="spellStart"/>
      <w:r w:rsidRPr="000A0A8E">
        <w:t>brechas</w:t>
      </w:r>
      <w:proofErr w:type="spellEnd"/>
      <w:r w:rsidRPr="000A0A8E">
        <w:t xml:space="preserve"> </w:t>
      </w:r>
      <w:proofErr w:type="spellStart"/>
      <w:r w:rsidRPr="000A0A8E">
        <w:t>regionales</w:t>
      </w:r>
      <w:proofErr w:type="spellEnd"/>
      <w:r w:rsidRPr="000A0A8E">
        <w:t xml:space="preserve"> el </w:t>
      </w:r>
      <w:proofErr w:type="spellStart"/>
      <w:r w:rsidRPr="000A0A8E">
        <w:t>ambiente</w:t>
      </w:r>
      <w:proofErr w:type="spellEnd"/>
      <w:r w:rsidRPr="000A0A8E">
        <w:t xml:space="preserve"> y para </w:t>
      </w:r>
      <w:proofErr w:type="spellStart"/>
      <w:r w:rsidRPr="000A0A8E">
        <w:t>traducir</w:t>
      </w:r>
      <w:proofErr w:type="spellEnd"/>
      <w:r w:rsidRPr="000A0A8E">
        <w:t xml:space="preserve"> sus ERDB </w:t>
      </w:r>
      <w:proofErr w:type="spellStart"/>
      <w:r w:rsidRPr="000A0A8E">
        <w:t>respectivas</w:t>
      </w:r>
      <w:proofErr w:type="spellEnd"/>
      <w:r w:rsidRPr="000A0A8E">
        <w:t xml:space="preserve"> en </w:t>
      </w:r>
      <w:proofErr w:type="spellStart"/>
      <w:r w:rsidRPr="000A0A8E">
        <w:t>mecanismos</w:t>
      </w:r>
      <w:proofErr w:type="spellEnd"/>
      <w:r w:rsidRPr="000A0A8E">
        <w:t xml:space="preserve"> </w:t>
      </w:r>
      <w:proofErr w:type="spellStart"/>
      <w:r w:rsidRPr="000A0A8E">
        <w:t>operativos</w:t>
      </w:r>
      <w:proofErr w:type="spellEnd"/>
      <w:r w:rsidRPr="000A0A8E">
        <w:t xml:space="preserve"> con un balance </w:t>
      </w:r>
      <w:proofErr w:type="spellStart"/>
      <w:r w:rsidRPr="000A0A8E">
        <w:t>apropiado</w:t>
      </w:r>
      <w:proofErr w:type="spellEnd"/>
      <w:r w:rsidRPr="000A0A8E">
        <w:t xml:space="preserve"> entre </w:t>
      </w:r>
      <w:proofErr w:type="spellStart"/>
      <w:r w:rsidRPr="000A0A8E">
        <w:t>Conservación</w:t>
      </w:r>
      <w:proofErr w:type="spellEnd"/>
      <w:r w:rsidRPr="000A0A8E">
        <w:t xml:space="preserve"> y GERRNN.</w:t>
      </w:r>
    </w:p>
    <w:p w14:paraId="649FDC5A" w14:textId="77777777" w:rsidR="000A0A8E" w:rsidRPr="000A0A8E" w:rsidRDefault="000A0A8E" w:rsidP="000A0A8E">
      <w:pPr>
        <w:pStyle w:val="Paragraphedeliste"/>
        <w:numPr>
          <w:ilvl w:val="0"/>
          <w:numId w:val="14"/>
        </w:numPr>
        <w:spacing w:after="0" w:line="240" w:lineRule="auto"/>
        <w:jc w:val="both"/>
      </w:pPr>
      <w:proofErr w:type="spellStart"/>
      <w:r w:rsidRPr="000A0A8E">
        <w:t>También</w:t>
      </w:r>
      <w:proofErr w:type="spellEnd"/>
      <w:r w:rsidRPr="000A0A8E">
        <w:t xml:space="preserve"> se les </w:t>
      </w:r>
      <w:proofErr w:type="spellStart"/>
      <w:r w:rsidRPr="000A0A8E">
        <w:t>recomienda</w:t>
      </w:r>
      <w:proofErr w:type="spellEnd"/>
      <w:r w:rsidRPr="000A0A8E">
        <w:t xml:space="preserve"> que se </w:t>
      </w:r>
      <w:proofErr w:type="spellStart"/>
      <w:r w:rsidRPr="000A0A8E">
        <w:t>reintegren</w:t>
      </w:r>
      <w:proofErr w:type="spellEnd"/>
      <w:r w:rsidRPr="000A0A8E">
        <w:t xml:space="preserve"> en el </w:t>
      </w:r>
      <w:proofErr w:type="spellStart"/>
      <w:r w:rsidRPr="000A0A8E">
        <w:t>acompañamiento</w:t>
      </w:r>
      <w:proofErr w:type="spellEnd"/>
      <w:r w:rsidRPr="000A0A8E">
        <w:t xml:space="preserve"> de los MRSE </w:t>
      </w:r>
      <w:proofErr w:type="spellStart"/>
      <w:r w:rsidRPr="000A0A8E">
        <w:t>hídricos</w:t>
      </w:r>
      <w:proofErr w:type="spellEnd"/>
      <w:r w:rsidRPr="000A0A8E">
        <w:t xml:space="preserve"> en </w:t>
      </w:r>
      <w:proofErr w:type="spellStart"/>
      <w:r w:rsidRPr="000A0A8E">
        <w:t>curso</w:t>
      </w:r>
      <w:proofErr w:type="spellEnd"/>
      <w:r w:rsidRPr="000A0A8E">
        <w:t xml:space="preserve">, </w:t>
      </w:r>
      <w:proofErr w:type="spellStart"/>
      <w:r w:rsidRPr="000A0A8E">
        <w:t>aunque</w:t>
      </w:r>
      <w:proofErr w:type="spellEnd"/>
      <w:r w:rsidRPr="000A0A8E">
        <w:t xml:space="preserve"> no </w:t>
      </w:r>
      <w:proofErr w:type="spellStart"/>
      <w:r w:rsidRPr="000A0A8E">
        <w:t>sean</w:t>
      </w:r>
      <w:proofErr w:type="spellEnd"/>
      <w:r w:rsidRPr="000A0A8E">
        <w:t xml:space="preserve"> </w:t>
      </w:r>
      <w:proofErr w:type="spellStart"/>
      <w:r w:rsidRPr="000A0A8E">
        <w:t>ejecutores</w:t>
      </w:r>
      <w:proofErr w:type="spellEnd"/>
      <w:r w:rsidRPr="000A0A8E">
        <w:t xml:space="preserve"> de los </w:t>
      </w:r>
      <w:proofErr w:type="spellStart"/>
      <w:r w:rsidRPr="000A0A8E">
        <w:t>fondos</w:t>
      </w:r>
      <w:proofErr w:type="spellEnd"/>
      <w:r w:rsidRPr="000A0A8E">
        <w:t xml:space="preserve"> y que se </w:t>
      </w:r>
      <w:proofErr w:type="spellStart"/>
      <w:r w:rsidRPr="000A0A8E">
        <w:t>asesoren</w:t>
      </w:r>
      <w:proofErr w:type="spellEnd"/>
      <w:r w:rsidRPr="000A0A8E">
        <w:t xml:space="preserve"> con el MINAM para </w:t>
      </w:r>
      <w:proofErr w:type="spellStart"/>
      <w:r w:rsidRPr="000A0A8E">
        <w:t>para</w:t>
      </w:r>
      <w:proofErr w:type="spellEnd"/>
      <w:r w:rsidRPr="000A0A8E">
        <w:t xml:space="preserve"> </w:t>
      </w:r>
      <w:proofErr w:type="spellStart"/>
      <w:r w:rsidRPr="000A0A8E">
        <w:t>formar</w:t>
      </w:r>
      <w:proofErr w:type="spellEnd"/>
      <w:r w:rsidRPr="000A0A8E">
        <w:t xml:space="preserve"> </w:t>
      </w:r>
      <w:proofErr w:type="spellStart"/>
      <w:r w:rsidRPr="000A0A8E">
        <w:t>grupos</w:t>
      </w:r>
      <w:proofErr w:type="spellEnd"/>
      <w:r w:rsidRPr="000A0A8E">
        <w:t xml:space="preserve"> </w:t>
      </w:r>
      <w:proofErr w:type="spellStart"/>
      <w:r w:rsidRPr="000A0A8E">
        <w:t>impulsores</w:t>
      </w:r>
      <w:proofErr w:type="spellEnd"/>
      <w:r w:rsidRPr="000A0A8E">
        <w:t xml:space="preserve"> para </w:t>
      </w:r>
      <w:proofErr w:type="spellStart"/>
      <w:r w:rsidRPr="000A0A8E">
        <w:t>cada</w:t>
      </w:r>
      <w:proofErr w:type="spellEnd"/>
      <w:r w:rsidRPr="000A0A8E">
        <w:t xml:space="preserve"> </w:t>
      </w:r>
      <w:proofErr w:type="spellStart"/>
      <w:r w:rsidRPr="000A0A8E">
        <w:t>una</w:t>
      </w:r>
      <w:proofErr w:type="spellEnd"/>
      <w:r w:rsidRPr="000A0A8E">
        <w:t xml:space="preserve"> de las </w:t>
      </w:r>
      <w:proofErr w:type="spellStart"/>
      <w:r w:rsidRPr="000A0A8E">
        <w:t>ciudades</w:t>
      </w:r>
      <w:proofErr w:type="spellEnd"/>
      <w:r w:rsidRPr="000A0A8E">
        <w:t xml:space="preserve"> </w:t>
      </w:r>
      <w:proofErr w:type="spellStart"/>
      <w:r w:rsidRPr="000A0A8E">
        <w:t>donde</w:t>
      </w:r>
      <w:proofErr w:type="spellEnd"/>
      <w:r w:rsidRPr="000A0A8E">
        <w:t xml:space="preserve"> se </w:t>
      </w:r>
      <w:proofErr w:type="spellStart"/>
      <w:r w:rsidRPr="000A0A8E">
        <w:t>prestan</w:t>
      </w:r>
      <w:proofErr w:type="spellEnd"/>
      <w:r w:rsidRPr="000A0A8E">
        <w:t xml:space="preserve"> las </w:t>
      </w:r>
      <w:proofErr w:type="spellStart"/>
      <w:r w:rsidRPr="000A0A8E">
        <w:t>condiciones</w:t>
      </w:r>
      <w:proofErr w:type="spellEnd"/>
      <w:r w:rsidRPr="000A0A8E">
        <w:t xml:space="preserve"> para </w:t>
      </w:r>
      <w:proofErr w:type="spellStart"/>
      <w:r w:rsidRPr="000A0A8E">
        <w:t>iniciar</w:t>
      </w:r>
      <w:proofErr w:type="spellEnd"/>
      <w:r w:rsidRPr="000A0A8E">
        <w:t xml:space="preserve"> </w:t>
      </w:r>
      <w:proofErr w:type="spellStart"/>
      <w:r w:rsidRPr="000A0A8E">
        <w:t>nuevos</w:t>
      </w:r>
      <w:proofErr w:type="spellEnd"/>
      <w:r w:rsidRPr="000A0A8E">
        <w:t xml:space="preserve"> MRSE.</w:t>
      </w:r>
    </w:p>
    <w:p w14:paraId="63D5466E" w14:textId="77777777" w:rsidR="000A0A8E" w:rsidRPr="000A0A8E" w:rsidRDefault="000A0A8E" w:rsidP="000A0A8E">
      <w:pPr>
        <w:pStyle w:val="Paragraphedeliste"/>
        <w:numPr>
          <w:ilvl w:val="0"/>
          <w:numId w:val="14"/>
        </w:numPr>
        <w:spacing w:after="0" w:line="240" w:lineRule="auto"/>
        <w:jc w:val="both"/>
      </w:pPr>
      <w:r w:rsidRPr="000A0A8E">
        <w:t xml:space="preserve">Que se </w:t>
      </w:r>
      <w:proofErr w:type="spellStart"/>
      <w:r w:rsidRPr="000A0A8E">
        <w:t>abran</w:t>
      </w:r>
      <w:proofErr w:type="spellEnd"/>
      <w:r w:rsidRPr="000A0A8E">
        <w:t xml:space="preserve"> a las </w:t>
      </w:r>
      <w:proofErr w:type="spellStart"/>
      <w:r w:rsidRPr="000A0A8E">
        <w:t>transversalización</w:t>
      </w:r>
      <w:proofErr w:type="spellEnd"/>
      <w:r w:rsidRPr="000A0A8E">
        <w:t xml:space="preserve"> </w:t>
      </w:r>
      <w:proofErr w:type="spellStart"/>
      <w:r w:rsidRPr="000A0A8E">
        <w:t>ambiental</w:t>
      </w:r>
      <w:proofErr w:type="spellEnd"/>
      <w:r w:rsidRPr="000A0A8E">
        <w:t xml:space="preserve"> de </w:t>
      </w:r>
      <w:proofErr w:type="spellStart"/>
      <w:r w:rsidRPr="000A0A8E">
        <w:t>manera</w:t>
      </w:r>
      <w:proofErr w:type="spellEnd"/>
      <w:r w:rsidRPr="000A0A8E">
        <w:t xml:space="preserve"> </w:t>
      </w:r>
      <w:proofErr w:type="spellStart"/>
      <w:r w:rsidRPr="000A0A8E">
        <w:t>efectiva</w:t>
      </w:r>
      <w:proofErr w:type="spellEnd"/>
      <w:r w:rsidRPr="000A0A8E">
        <w:t xml:space="preserve">. La </w:t>
      </w:r>
      <w:proofErr w:type="spellStart"/>
      <w:r w:rsidRPr="000A0A8E">
        <w:t>competitividad</w:t>
      </w:r>
      <w:proofErr w:type="spellEnd"/>
      <w:r w:rsidRPr="000A0A8E">
        <w:t xml:space="preserve"> </w:t>
      </w:r>
      <w:proofErr w:type="spellStart"/>
      <w:r w:rsidRPr="000A0A8E">
        <w:t>económica</w:t>
      </w:r>
      <w:proofErr w:type="spellEnd"/>
      <w:r w:rsidRPr="000A0A8E">
        <w:t xml:space="preserve"> de las </w:t>
      </w:r>
      <w:proofErr w:type="spellStart"/>
      <w:r w:rsidRPr="000A0A8E">
        <w:t>regiones</w:t>
      </w:r>
      <w:proofErr w:type="spellEnd"/>
      <w:r w:rsidRPr="000A0A8E">
        <w:t xml:space="preserve"> </w:t>
      </w:r>
      <w:proofErr w:type="spellStart"/>
      <w:r w:rsidRPr="000A0A8E">
        <w:t>deben</w:t>
      </w:r>
      <w:proofErr w:type="spellEnd"/>
      <w:r w:rsidRPr="000A0A8E">
        <w:t xml:space="preserve"> </w:t>
      </w:r>
      <w:proofErr w:type="spellStart"/>
      <w:r w:rsidRPr="000A0A8E">
        <w:t>basarse</w:t>
      </w:r>
      <w:proofErr w:type="spellEnd"/>
      <w:r w:rsidRPr="000A0A8E">
        <w:t xml:space="preserve"> en sus </w:t>
      </w:r>
      <w:proofErr w:type="spellStart"/>
      <w:r w:rsidRPr="000A0A8E">
        <w:t>recursos</w:t>
      </w:r>
      <w:proofErr w:type="spellEnd"/>
      <w:r w:rsidRPr="000A0A8E">
        <w:t xml:space="preserve">, no para la </w:t>
      </w:r>
      <w:proofErr w:type="spellStart"/>
      <w:r w:rsidRPr="000A0A8E">
        <w:t>extracción</w:t>
      </w:r>
      <w:proofErr w:type="spellEnd"/>
      <w:r w:rsidRPr="000A0A8E">
        <w:t xml:space="preserve"> o el </w:t>
      </w:r>
      <w:proofErr w:type="spellStart"/>
      <w:r w:rsidRPr="000A0A8E">
        <w:t>uso</w:t>
      </w:r>
      <w:proofErr w:type="spellEnd"/>
      <w:r w:rsidRPr="000A0A8E">
        <w:t xml:space="preserve"> </w:t>
      </w:r>
      <w:proofErr w:type="spellStart"/>
      <w:r w:rsidRPr="000A0A8E">
        <w:t>pasivo</w:t>
      </w:r>
      <w:proofErr w:type="spellEnd"/>
      <w:r w:rsidRPr="000A0A8E">
        <w:t xml:space="preserve">, sino con un </w:t>
      </w:r>
      <w:proofErr w:type="spellStart"/>
      <w:r w:rsidRPr="000A0A8E">
        <w:t>enfoque</w:t>
      </w:r>
      <w:proofErr w:type="spellEnd"/>
      <w:r w:rsidRPr="000A0A8E">
        <w:t xml:space="preserve"> de GERRNN.</w:t>
      </w:r>
    </w:p>
    <w:p w14:paraId="07FBCCB8" w14:textId="77777777" w:rsidR="000A0A8E" w:rsidRDefault="000A0A8E" w:rsidP="000A0A8E"/>
    <w:p w14:paraId="61E971C1" w14:textId="77777777" w:rsidR="000A0A8E" w:rsidRPr="000A0A8E" w:rsidRDefault="000A0A8E" w:rsidP="000A0A8E">
      <w:pPr>
        <w:rPr>
          <w:b/>
          <w:i/>
          <w:color w:val="404040"/>
          <w:lang w:val="es-BO"/>
        </w:rPr>
      </w:pPr>
      <w:proofErr w:type="spellStart"/>
      <w:r w:rsidRPr="000A0A8E">
        <w:rPr>
          <w:b/>
          <w:i/>
          <w:color w:val="404040"/>
        </w:rPr>
        <w:t>Recomendaciones</w:t>
      </w:r>
      <w:proofErr w:type="spellEnd"/>
      <w:r w:rsidRPr="000A0A8E">
        <w:rPr>
          <w:b/>
          <w:i/>
          <w:color w:val="404040"/>
        </w:rPr>
        <w:t xml:space="preserve"> a</w:t>
      </w:r>
      <w:r w:rsidRPr="000A0A8E">
        <w:rPr>
          <w:b/>
          <w:i/>
          <w:color w:val="404040"/>
          <w:lang w:val="es-BO"/>
        </w:rPr>
        <w:t xml:space="preserve"> A los GOLO</w:t>
      </w:r>
    </w:p>
    <w:p w14:paraId="53BDDAD2" w14:textId="77777777" w:rsidR="000A0A8E" w:rsidRPr="000A0A8E" w:rsidRDefault="000A0A8E" w:rsidP="000A0A8E">
      <w:pPr>
        <w:pStyle w:val="Paragraphedeliste"/>
        <w:numPr>
          <w:ilvl w:val="0"/>
          <w:numId w:val="14"/>
        </w:numPr>
        <w:spacing w:after="0" w:line="240" w:lineRule="auto"/>
        <w:jc w:val="both"/>
      </w:pPr>
      <w:r w:rsidRPr="000A0A8E">
        <w:t xml:space="preserve">A la MD de Río Negro, se le </w:t>
      </w:r>
      <w:proofErr w:type="spellStart"/>
      <w:r w:rsidRPr="000A0A8E">
        <w:t>recomienda</w:t>
      </w:r>
      <w:proofErr w:type="spellEnd"/>
      <w:r w:rsidRPr="000A0A8E">
        <w:t xml:space="preserve"> </w:t>
      </w:r>
      <w:proofErr w:type="spellStart"/>
      <w:r w:rsidRPr="000A0A8E">
        <w:t>organizar</w:t>
      </w:r>
      <w:proofErr w:type="spellEnd"/>
      <w:r w:rsidRPr="000A0A8E">
        <w:t xml:space="preserve"> un </w:t>
      </w:r>
      <w:proofErr w:type="spellStart"/>
      <w:r w:rsidRPr="000A0A8E">
        <w:t>monitoreo</w:t>
      </w:r>
      <w:proofErr w:type="spellEnd"/>
      <w:r w:rsidRPr="000A0A8E">
        <w:t xml:space="preserve"> </w:t>
      </w:r>
      <w:proofErr w:type="spellStart"/>
      <w:r w:rsidRPr="000A0A8E">
        <w:t>participativo</w:t>
      </w:r>
      <w:proofErr w:type="spellEnd"/>
      <w:r w:rsidRPr="000A0A8E">
        <w:t xml:space="preserve"> </w:t>
      </w:r>
      <w:proofErr w:type="spellStart"/>
      <w:r w:rsidRPr="000A0A8E">
        <w:t>del</w:t>
      </w:r>
      <w:proofErr w:type="spellEnd"/>
      <w:r w:rsidRPr="000A0A8E">
        <w:t xml:space="preserve"> </w:t>
      </w:r>
      <w:proofErr w:type="spellStart"/>
      <w:r w:rsidRPr="000A0A8E">
        <w:t>caso</w:t>
      </w:r>
      <w:proofErr w:type="spellEnd"/>
      <w:r w:rsidRPr="000A0A8E">
        <w:t xml:space="preserve"> de la </w:t>
      </w:r>
      <w:proofErr w:type="spellStart"/>
      <w:r w:rsidRPr="000A0A8E">
        <w:t>comunidad</w:t>
      </w:r>
      <w:proofErr w:type="spellEnd"/>
      <w:r w:rsidRPr="000A0A8E">
        <w:t xml:space="preserve"> </w:t>
      </w:r>
      <w:proofErr w:type="spellStart"/>
      <w:r w:rsidRPr="000A0A8E">
        <w:t>nativa</w:t>
      </w:r>
      <w:proofErr w:type="spellEnd"/>
      <w:r w:rsidRPr="000A0A8E">
        <w:t xml:space="preserve"> de Centro Cheni, a fin de </w:t>
      </w:r>
      <w:proofErr w:type="spellStart"/>
      <w:r w:rsidRPr="000A0A8E">
        <w:t>promover</w:t>
      </w:r>
      <w:proofErr w:type="spellEnd"/>
      <w:r w:rsidRPr="000A0A8E">
        <w:t xml:space="preserve"> su </w:t>
      </w:r>
      <w:proofErr w:type="spellStart"/>
      <w:r w:rsidRPr="000A0A8E">
        <w:t>replicación</w:t>
      </w:r>
      <w:proofErr w:type="spellEnd"/>
      <w:r w:rsidRPr="000A0A8E">
        <w:t xml:space="preserve">. </w:t>
      </w:r>
    </w:p>
    <w:p w14:paraId="35807EBC" w14:textId="77777777" w:rsidR="000A0A8E" w:rsidRPr="000A0A8E" w:rsidRDefault="000A0A8E" w:rsidP="000A0A8E">
      <w:pPr>
        <w:pStyle w:val="Paragraphedeliste"/>
        <w:numPr>
          <w:ilvl w:val="0"/>
          <w:numId w:val="14"/>
        </w:numPr>
        <w:spacing w:after="0" w:line="240" w:lineRule="auto"/>
        <w:jc w:val="both"/>
      </w:pPr>
      <w:r w:rsidRPr="000A0A8E">
        <w:t xml:space="preserve">A los </w:t>
      </w:r>
      <w:proofErr w:type="spellStart"/>
      <w:r w:rsidRPr="000A0A8E">
        <w:t>distritos</w:t>
      </w:r>
      <w:proofErr w:type="spellEnd"/>
      <w:r w:rsidRPr="000A0A8E">
        <w:t xml:space="preserve"> que </w:t>
      </w:r>
      <w:proofErr w:type="spellStart"/>
      <w:r w:rsidRPr="000A0A8E">
        <w:t>conforman</w:t>
      </w:r>
      <w:proofErr w:type="spellEnd"/>
      <w:r w:rsidRPr="000A0A8E">
        <w:t xml:space="preserve"> la ZABD de Apurímac se les </w:t>
      </w:r>
      <w:proofErr w:type="spellStart"/>
      <w:r w:rsidRPr="000A0A8E">
        <w:t>recomienda</w:t>
      </w:r>
      <w:proofErr w:type="spellEnd"/>
      <w:r w:rsidRPr="000A0A8E">
        <w:t xml:space="preserve"> que </w:t>
      </w:r>
      <w:proofErr w:type="spellStart"/>
      <w:r w:rsidRPr="000A0A8E">
        <w:t>dejen</w:t>
      </w:r>
      <w:proofErr w:type="spellEnd"/>
      <w:r w:rsidRPr="000A0A8E">
        <w:t xml:space="preserve"> a un </w:t>
      </w:r>
      <w:proofErr w:type="spellStart"/>
      <w:r w:rsidRPr="000A0A8E">
        <w:t>lado</w:t>
      </w:r>
      <w:proofErr w:type="spellEnd"/>
      <w:r w:rsidRPr="000A0A8E">
        <w:t xml:space="preserve"> sus </w:t>
      </w:r>
      <w:proofErr w:type="spellStart"/>
      <w:r w:rsidRPr="000A0A8E">
        <w:t>rencillas</w:t>
      </w:r>
      <w:proofErr w:type="spellEnd"/>
      <w:r w:rsidRPr="000A0A8E">
        <w:t xml:space="preserve"> </w:t>
      </w:r>
      <w:proofErr w:type="spellStart"/>
      <w:r w:rsidRPr="000A0A8E">
        <w:t>históricas</w:t>
      </w:r>
      <w:proofErr w:type="spellEnd"/>
      <w:r w:rsidRPr="000A0A8E">
        <w:t xml:space="preserve"> y se </w:t>
      </w:r>
      <w:proofErr w:type="spellStart"/>
      <w:r w:rsidRPr="000A0A8E">
        <w:t>unan</w:t>
      </w:r>
      <w:proofErr w:type="spellEnd"/>
      <w:r w:rsidRPr="000A0A8E">
        <w:t xml:space="preserve">, </w:t>
      </w:r>
      <w:proofErr w:type="spellStart"/>
      <w:r w:rsidRPr="000A0A8E">
        <w:t>sumando</w:t>
      </w:r>
      <w:proofErr w:type="spellEnd"/>
      <w:r w:rsidRPr="000A0A8E">
        <w:t xml:space="preserve"> a los </w:t>
      </w:r>
      <w:proofErr w:type="spellStart"/>
      <w:r w:rsidRPr="000A0A8E">
        <w:t>vecinos</w:t>
      </w:r>
      <w:proofErr w:type="spellEnd"/>
      <w:r w:rsidRPr="000A0A8E">
        <w:t xml:space="preserve"> que no han </w:t>
      </w:r>
      <w:proofErr w:type="spellStart"/>
      <w:r w:rsidRPr="000A0A8E">
        <w:t>entrado</w:t>
      </w:r>
      <w:proofErr w:type="spellEnd"/>
      <w:r w:rsidRPr="000A0A8E">
        <w:t xml:space="preserve"> en el </w:t>
      </w:r>
      <w:proofErr w:type="spellStart"/>
      <w:r w:rsidRPr="000A0A8E">
        <w:t>proceso</w:t>
      </w:r>
      <w:proofErr w:type="spellEnd"/>
      <w:r w:rsidRPr="000A0A8E">
        <w:t xml:space="preserve"> con PRODERN y en </w:t>
      </w:r>
      <w:proofErr w:type="spellStart"/>
      <w:r w:rsidRPr="000A0A8E">
        <w:t>organizar</w:t>
      </w:r>
      <w:proofErr w:type="spellEnd"/>
      <w:r w:rsidRPr="000A0A8E">
        <w:t xml:space="preserve"> el </w:t>
      </w:r>
      <w:proofErr w:type="spellStart"/>
      <w:r w:rsidRPr="000A0A8E">
        <w:t>trabajo</w:t>
      </w:r>
      <w:proofErr w:type="spellEnd"/>
      <w:r w:rsidRPr="000A0A8E">
        <w:t xml:space="preserve"> con el </w:t>
      </w:r>
      <w:proofErr w:type="spellStart"/>
      <w:r w:rsidRPr="000A0A8E">
        <w:t>proyecto</w:t>
      </w:r>
      <w:proofErr w:type="spellEnd"/>
      <w:r w:rsidRPr="000A0A8E">
        <w:t xml:space="preserve"> FAO para </w:t>
      </w:r>
      <w:proofErr w:type="spellStart"/>
      <w:r w:rsidRPr="000A0A8E">
        <w:t>aprovechar</w:t>
      </w:r>
      <w:proofErr w:type="spellEnd"/>
      <w:r w:rsidRPr="000A0A8E">
        <w:t xml:space="preserve"> bien </w:t>
      </w:r>
      <w:proofErr w:type="spellStart"/>
      <w:r w:rsidRPr="000A0A8E">
        <w:t>esta</w:t>
      </w:r>
      <w:proofErr w:type="spellEnd"/>
      <w:r w:rsidRPr="000A0A8E">
        <w:t xml:space="preserve"> </w:t>
      </w:r>
      <w:proofErr w:type="spellStart"/>
      <w:r w:rsidRPr="000A0A8E">
        <w:t>oportunidad</w:t>
      </w:r>
      <w:proofErr w:type="spellEnd"/>
      <w:r w:rsidRPr="000A0A8E">
        <w:t xml:space="preserve"> que se </w:t>
      </w:r>
      <w:proofErr w:type="spellStart"/>
      <w:r w:rsidRPr="000A0A8E">
        <w:t>está</w:t>
      </w:r>
      <w:proofErr w:type="spellEnd"/>
      <w:r w:rsidRPr="000A0A8E">
        <w:t xml:space="preserve"> </w:t>
      </w:r>
      <w:proofErr w:type="spellStart"/>
      <w:r w:rsidRPr="000A0A8E">
        <w:t>presentando</w:t>
      </w:r>
      <w:proofErr w:type="spellEnd"/>
      <w:r w:rsidRPr="000A0A8E">
        <w:t>.</w:t>
      </w:r>
    </w:p>
    <w:p w14:paraId="1D8AC0F9" w14:textId="77777777" w:rsidR="000A0A8E" w:rsidRPr="000A0A8E" w:rsidRDefault="000A0A8E" w:rsidP="000A0A8E">
      <w:pPr>
        <w:pStyle w:val="Paragraphedeliste"/>
        <w:numPr>
          <w:ilvl w:val="0"/>
          <w:numId w:val="14"/>
        </w:numPr>
        <w:spacing w:after="0" w:line="240" w:lineRule="auto"/>
        <w:jc w:val="both"/>
      </w:pPr>
      <w:r w:rsidRPr="000A0A8E">
        <w:t xml:space="preserve">A la MP de Abancay y MD de </w:t>
      </w:r>
      <w:proofErr w:type="spellStart"/>
      <w:r w:rsidRPr="000A0A8E">
        <w:t>Tamburco</w:t>
      </w:r>
      <w:proofErr w:type="spellEnd"/>
      <w:r w:rsidRPr="000A0A8E">
        <w:t xml:space="preserve"> se les </w:t>
      </w:r>
      <w:proofErr w:type="spellStart"/>
      <w:r w:rsidRPr="000A0A8E">
        <w:t>recomienda</w:t>
      </w:r>
      <w:proofErr w:type="spellEnd"/>
      <w:r w:rsidRPr="000A0A8E">
        <w:t xml:space="preserve"> </w:t>
      </w:r>
      <w:proofErr w:type="spellStart"/>
      <w:r w:rsidRPr="000A0A8E">
        <w:t>acercarse</w:t>
      </w:r>
      <w:proofErr w:type="spellEnd"/>
      <w:r w:rsidRPr="000A0A8E">
        <w:t xml:space="preserve"> </w:t>
      </w:r>
      <w:proofErr w:type="spellStart"/>
      <w:r w:rsidRPr="000A0A8E">
        <w:t>conjuntamente</w:t>
      </w:r>
      <w:proofErr w:type="spellEnd"/>
      <w:r w:rsidRPr="000A0A8E">
        <w:t xml:space="preserve"> a la </w:t>
      </w:r>
      <w:proofErr w:type="spellStart"/>
      <w:r w:rsidRPr="000A0A8E">
        <w:t>jefatura</w:t>
      </w:r>
      <w:proofErr w:type="spellEnd"/>
      <w:r w:rsidRPr="000A0A8E">
        <w:t xml:space="preserve"> </w:t>
      </w:r>
      <w:proofErr w:type="spellStart"/>
      <w:r w:rsidRPr="000A0A8E">
        <w:t>del</w:t>
      </w:r>
      <w:proofErr w:type="spellEnd"/>
      <w:r w:rsidRPr="000A0A8E">
        <w:t xml:space="preserve"> SERNANP para </w:t>
      </w:r>
      <w:proofErr w:type="spellStart"/>
      <w:r w:rsidRPr="000A0A8E">
        <w:t>desarrollar</w:t>
      </w:r>
      <w:proofErr w:type="spellEnd"/>
      <w:r w:rsidRPr="000A0A8E">
        <w:t xml:space="preserve"> un plan </w:t>
      </w:r>
      <w:proofErr w:type="spellStart"/>
      <w:r w:rsidRPr="000A0A8E">
        <w:t>común</w:t>
      </w:r>
      <w:proofErr w:type="spellEnd"/>
      <w:r w:rsidRPr="000A0A8E">
        <w:t xml:space="preserve"> para la ZA </w:t>
      </w:r>
      <w:proofErr w:type="spellStart"/>
      <w:r w:rsidRPr="000A0A8E">
        <w:t>del</w:t>
      </w:r>
      <w:proofErr w:type="spellEnd"/>
      <w:r w:rsidRPr="000A0A8E">
        <w:t xml:space="preserve"> SN </w:t>
      </w:r>
      <w:proofErr w:type="spellStart"/>
      <w:r w:rsidRPr="000A0A8E">
        <w:t>Ampay</w:t>
      </w:r>
      <w:proofErr w:type="spellEnd"/>
      <w:r w:rsidRPr="000A0A8E">
        <w:t>.</w:t>
      </w:r>
    </w:p>
    <w:p w14:paraId="6F19DFA7" w14:textId="77777777" w:rsidR="000A0A8E" w:rsidRPr="000A0A8E" w:rsidRDefault="000A0A8E" w:rsidP="000A0A8E">
      <w:pPr>
        <w:pStyle w:val="Paragraphedeliste"/>
        <w:numPr>
          <w:ilvl w:val="0"/>
          <w:numId w:val="14"/>
        </w:numPr>
        <w:spacing w:after="0" w:line="240" w:lineRule="auto"/>
        <w:jc w:val="both"/>
      </w:pPr>
      <w:r w:rsidRPr="000A0A8E">
        <w:t xml:space="preserve">A la MD de </w:t>
      </w:r>
      <w:proofErr w:type="spellStart"/>
      <w:r w:rsidRPr="000A0A8E">
        <w:t>Pilpichaca</w:t>
      </w:r>
      <w:proofErr w:type="spellEnd"/>
      <w:r w:rsidRPr="000A0A8E">
        <w:t xml:space="preserve">, </w:t>
      </w:r>
      <w:proofErr w:type="spellStart"/>
      <w:r w:rsidRPr="000A0A8E">
        <w:t>solicitar</w:t>
      </w:r>
      <w:proofErr w:type="spellEnd"/>
      <w:r w:rsidRPr="000A0A8E">
        <w:t xml:space="preserve"> al MINAM un </w:t>
      </w:r>
      <w:proofErr w:type="spellStart"/>
      <w:r w:rsidRPr="000A0A8E">
        <w:t>ejercicio</w:t>
      </w:r>
      <w:proofErr w:type="spellEnd"/>
      <w:r w:rsidRPr="000A0A8E">
        <w:t xml:space="preserve"> de </w:t>
      </w:r>
      <w:proofErr w:type="spellStart"/>
      <w:r w:rsidRPr="000A0A8E">
        <w:t>aplicación</w:t>
      </w:r>
      <w:proofErr w:type="spellEnd"/>
      <w:r w:rsidRPr="000A0A8E">
        <w:t xml:space="preserve"> de la micro ZEE al </w:t>
      </w:r>
      <w:proofErr w:type="spellStart"/>
      <w:r w:rsidRPr="000A0A8E">
        <w:t>caso</w:t>
      </w:r>
      <w:proofErr w:type="spellEnd"/>
      <w:r w:rsidRPr="000A0A8E">
        <w:t xml:space="preserve"> de </w:t>
      </w:r>
      <w:proofErr w:type="spellStart"/>
      <w:r w:rsidRPr="000A0A8E">
        <w:t>Pichccahuasi</w:t>
      </w:r>
      <w:proofErr w:type="spellEnd"/>
      <w:r w:rsidRPr="000A0A8E">
        <w:t xml:space="preserve">, para </w:t>
      </w:r>
      <w:proofErr w:type="spellStart"/>
      <w:r w:rsidRPr="000A0A8E">
        <w:t>reapropriarse</w:t>
      </w:r>
      <w:proofErr w:type="spellEnd"/>
      <w:r w:rsidRPr="000A0A8E">
        <w:t xml:space="preserve"> </w:t>
      </w:r>
      <w:proofErr w:type="spellStart"/>
      <w:r w:rsidRPr="000A0A8E">
        <w:t>del</w:t>
      </w:r>
      <w:proofErr w:type="spellEnd"/>
      <w:r w:rsidRPr="000A0A8E">
        <w:t xml:space="preserve"> </w:t>
      </w:r>
      <w:proofErr w:type="spellStart"/>
      <w:r w:rsidRPr="000A0A8E">
        <w:t>instrumento</w:t>
      </w:r>
      <w:proofErr w:type="spellEnd"/>
      <w:r w:rsidRPr="000A0A8E">
        <w:t xml:space="preserve"> en </w:t>
      </w:r>
      <w:proofErr w:type="spellStart"/>
      <w:r w:rsidRPr="000A0A8E">
        <w:t>función</w:t>
      </w:r>
      <w:proofErr w:type="spellEnd"/>
      <w:r w:rsidRPr="000A0A8E">
        <w:t xml:space="preserve"> </w:t>
      </w:r>
      <w:proofErr w:type="spellStart"/>
      <w:r w:rsidRPr="000A0A8E">
        <w:t>del</w:t>
      </w:r>
      <w:proofErr w:type="spellEnd"/>
      <w:r w:rsidRPr="000A0A8E">
        <w:t xml:space="preserve"> OT </w:t>
      </w:r>
      <w:proofErr w:type="spellStart"/>
      <w:r w:rsidRPr="000A0A8E">
        <w:t>comunitario</w:t>
      </w:r>
      <w:proofErr w:type="spellEnd"/>
      <w:r w:rsidRPr="000A0A8E">
        <w:t>.</w:t>
      </w:r>
    </w:p>
    <w:p w14:paraId="4EA609A5" w14:textId="77777777" w:rsidR="000A0A8E" w:rsidRPr="000A0A8E" w:rsidRDefault="000A0A8E" w:rsidP="000A0A8E">
      <w:pPr>
        <w:pStyle w:val="Paragraphedeliste"/>
        <w:numPr>
          <w:ilvl w:val="0"/>
          <w:numId w:val="14"/>
        </w:numPr>
        <w:spacing w:after="0" w:line="240" w:lineRule="auto"/>
        <w:jc w:val="both"/>
      </w:pPr>
      <w:r w:rsidRPr="000A0A8E">
        <w:t xml:space="preserve">El valle </w:t>
      </w:r>
      <w:proofErr w:type="spellStart"/>
      <w:r w:rsidRPr="000A0A8E">
        <w:t>del</w:t>
      </w:r>
      <w:proofErr w:type="spellEnd"/>
      <w:r w:rsidRPr="000A0A8E">
        <w:t xml:space="preserve"> </w:t>
      </w:r>
      <w:proofErr w:type="spellStart"/>
      <w:r w:rsidRPr="000A0A8E">
        <w:t>Sondondo</w:t>
      </w:r>
      <w:proofErr w:type="spellEnd"/>
      <w:r w:rsidRPr="000A0A8E">
        <w:t xml:space="preserve"> </w:t>
      </w:r>
      <w:proofErr w:type="spellStart"/>
      <w:r w:rsidRPr="000A0A8E">
        <w:t>está</w:t>
      </w:r>
      <w:proofErr w:type="spellEnd"/>
      <w:r w:rsidRPr="000A0A8E">
        <w:t xml:space="preserve"> en la </w:t>
      </w:r>
      <w:proofErr w:type="spellStart"/>
      <w:r w:rsidRPr="000A0A8E">
        <w:t>programación</w:t>
      </w:r>
      <w:proofErr w:type="spellEnd"/>
      <w:r w:rsidRPr="000A0A8E">
        <w:t xml:space="preserve"> de MINCETUR. Se </w:t>
      </w:r>
      <w:proofErr w:type="spellStart"/>
      <w:r w:rsidRPr="000A0A8E">
        <w:t>recomienda</w:t>
      </w:r>
      <w:proofErr w:type="spellEnd"/>
      <w:r w:rsidRPr="000A0A8E">
        <w:t xml:space="preserve"> a las 6 MD </w:t>
      </w:r>
      <w:proofErr w:type="spellStart"/>
      <w:r w:rsidRPr="000A0A8E">
        <w:t>implicadas</w:t>
      </w:r>
      <w:proofErr w:type="spellEnd"/>
      <w:r w:rsidRPr="000A0A8E">
        <w:t xml:space="preserve"> de </w:t>
      </w:r>
      <w:proofErr w:type="spellStart"/>
      <w:r w:rsidRPr="000A0A8E">
        <w:t>contribuir</w:t>
      </w:r>
      <w:proofErr w:type="spellEnd"/>
      <w:r w:rsidRPr="000A0A8E">
        <w:t xml:space="preserve"> con </w:t>
      </w:r>
      <w:proofErr w:type="spellStart"/>
      <w:r w:rsidRPr="000A0A8E">
        <w:t>más</w:t>
      </w:r>
      <w:proofErr w:type="spellEnd"/>
      <w:r w:rsidRPr="000A0A8E">
        <w:t xml:space="preserve"> </w:t>
      </w:r>
      <w:proofErr w:type="spellStart"/>
      <w:r w:rsidRPr="000A0A8E">
        <w:t>promoción</w:t>
      </w:r>
      <w:proofErr w:type="spellEnd"/>
      <w:r w:rsidRPr="000A0A8E">
        <w:t xml:space="preserve"> y </w:t>
      </w:r>
      <w:proofErr w:type="spellStart"/>
      <w:r w:rsidRPr="000A0A8E">
        <w:t>apoyo</w:t>
      </w:r>
      <w:proofErr w:type="spellEnd"/>
      <w:r w:rsidRPr="000A0A8E">
        <w:t xml:space="preserve"> a los </w:t>
      </w:r>
      <w:proofErr w:type="spellStart"/>
      <w:r w:rsidRPr="000A0A8E">
        <w:t>emprendimientos</w:t>
      </w:r>
      <w:proofErr w:type="spellEnd"/>
      <w:r w:rsidRPr="000A0A8E">
        <w:t xml:space="preserve"> </w:t>
      </w:r>
      <w:proofErr w:type="spellStart"/>
      <w:r w:rsidRPr="000A0A8E">
        <w:t>turísticos</w:t>
      </w:r>
      <w:proofErr w:type="spellEnd"/>
      <w:r w:rsidRPr="000A0A8E">
        <w:t xml:space="preserve">. </w:t>
      </w:r>
    </w:p>
    <w:p w14:paraId="52CCE212" w14:textId="77777777" w:rsidR="000A0A8E" w:rsidRPr="00221850" w:rsidRDefault="000A0A8E" w:rsidP="000A0A8E">
      <w:pPr>
        <w:pStyle w:val="Corpsdetexte"/>
        <w:rPr>
          <w:lang w:val="es-NI"/>
        </w:rPr>
      </w:pPr>
    </w:p>
    <w:p w14:paraId="1909B24B" w14:textId="77777777" w:rsidR="000A0A8E" w:rsidRPr="000A0A8E" w:rsidRDefault="000A0A8E" w:rsidP="000A0A8E">
      <w:pPr>
        <w:rPr>
          <w:b/>
          <w:i/>
          <w:color w:val="404040"/>
        </w:rPr>
      </w:pPr>
      <w:proofErr w:type="spellStart"/>
      <w:r w:rsidRPr="000A0A8E">
        <w:rPr>
          <w:b/>
          <w:i/>
          <w:color w:val="404040"/>
        </w:rPr>
        <w:t>Lecciones</w:t>
      </w:r>
      <w:proofErr w:type="spellEnd"/>
      <w:r w:rsidRPr="000A0A8E">
        <w:rPr>
          <w:b/>
          <w:i/>
          <w:color w:val="404040"/>
        </w:rPr>
        <w:t xml:space="preserve"> </w:t>
      </w:r>
      <w:proofErr w:type="spellStart"/>
      <w:r w:rsidRPr="000A0A8E">
        <w:rPr>
          <w:b/>
          <w:i/>
          <w:color w:val="404040"/>
        </w:rPr>
        <w:t>aprendidas</w:t>
      </w:r>
      <w:proofErr w:type="spellEnd"/>
      <w:r w:rsidRPr="000A0A8E">
        <w:rPr>
          <w:b/>
          <w:i/>
          <w:color w:val="404040"/>
        </w:rPr>
        <w:t xml:space="preserve"> </w:t>
      </w:r>
    </w:p>
    <w:p w14:paraId="2409B459" w14:textId="77777777" w:rsidR="000A0A8E" w:rsidRPr="000A0A8E" w:rsidRDefault="000A0A8E" w:rsidP="000A0A8E">
      <w:pPr>
        <w:rPr>
          <w:lang w:val="es-BO"/>
        </w:rPr>
      </w:pPr>
      <w:r w:rsidRPr="000A0A8E">
        <w:rPr>
          <w:lang w:val="es-BO"/>
        </w:rPr>
        <w:t>En el marco del traspaso de los procesos iniciados con el apoyo del PRODERN, tanto los procesos institucionales como los que implican las comunidades campesinas y nativas, es relevante consignar las lecciones aprendidas en cada uno ellos, especialmente acerca de los mecanismos por medio de los cuales el PRODERN ha implementado la estrategia que le había sido trazada, y que ha tenido que explicitar y adecuar en función de la evolución del contexto en el cual se ha desempeñado.</w:t>
      </w:r>
    </w:p>
    <w:p w14:paraId="17B213BD" w14:textId="77777777" w:rsidR="000A0A8E" w:rsidRPr="000A0A8E" w:rsidRDefault="000A0A8E" w:rsidP="000A0A8E">
      <w:pPr>
        <w:rPr>
          <w:lang w:val="es-BO"/>
        </w:rPr>
      </w:pPr>
      <w:r w:rsidRPr="000A0A8E">
        <w:rPr>
          <w:lang w:val="es-BO"/>
        </w:rPr>
        <w:t xml:space="preserve">Al centro de su estrategia de salida, el PRODERN ha encargado la realización de sistematizaciones realizadas por terceros en los siguientes temas de interés: (a) Estrategia de Intervención, (b) Gobernanza Ambiental, (c) Áreas Naturales Protegidas, (d) Sistemas de Producción Sostenible y Cadenas de Valor, (e) Mecanismos de Retribución de Servicios </w:t>
      </w:r>
      <w:proofErr w:type="spellStart"/>
      <w:r w:rsidRPr="000A0A8E">
        <w:rPr>
          <w:lang w:val="es-BO"/>
        </w:rPr>
        <w:t>Ecosistémicos</w:t>
      </w:r>
      <w:proofErr w:type="spellEnd"/>
      <w:r w:rsidRPr="000A0A8E">
        <w:rPr>
          <w:lang w:val="es-BO"/>
        </w:rPr>
        <w:t xml:space="preserve">, (f) Educación Ambiental, y (g) Fondos Concursables. El mandato es la identificación y retroalimentación de las lecciones aprendidas y buenas prácticas, la cual servirá para que los actores susceptibles de dar continuidad a los procesos iniciados con PRODERN II lo hagan con mejor conocimiento de causa, así como para su agenda institucional en general. </w:t>
      </w:r>
    </w:p>
    <w:p w14:paraId="4FEBC6EE" w14:textId="77777777" w:rsidR="000A0A8E" w:rsidRPr="000A0A8E" w:rsidRDefault="000A0A8E" w:rsidP="000A0A8E">
      <w:pPr>
        <w:rPr>
          <w:lang w:val="es-BO"/>
        </w:rPr>
      </w:pPr>
      <w:r w:rsidRPr="000A0A8E">
        <w:rPr>
          <w:lang w:val="es-BO"/>
        </w:rPr>
        <w:t>Contienen entre 6 y 12 lecciones aprendidas por cada proceso. Las sistematizaciones están bien logradas, aunque algunas lecciones aprendidas son comunes a muchos procesos, pero en el informe se seleccionado las principales, que se conjugaron con las formuladas por la misión.</w:t>
      </w:r>
    </w:p>
    <w:p w14:paraId="0BBB82C2" w14:textId="77777777" w:rsidR="009C7B50" w:rsidRDefault="009C7B50" w:rsidP="00A1053F">
      <w:pPr>
        <w:spacing w:after="160"/>
        <w:jc w:val="both"/>
        <w:rPr>
          <w:rFonts w:ascii="Georgia" w:hAnsi="Georgia" w:cs="Arial"/>
          <w:sz w:val="20"/>
        </w:rPr>
      </w:pPr>
    </w:p>
    <w:sectPr w:rsidR="009C7B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FD3C8" w14:textId="77777777" w:rsidR="009C7B50" w:rsidRDefault="009C7B50" w:rsidP="009C7B50">
      <w:pPr>
        <w:spacing w:after="0" w:line="240" w:lineRule="auto"/>
      </w:pPr>
      <w:r>
        <w:separator/>
      </w:r>
    </w:p>
  </w:endnote>
  <w:endnote w:type="continuationSeparator" w:id="0">
    <w:p w14:paraId="6E0E3ABF" w14:textId="77777777" w:rsidR="009C7B50" w:rsidRDefault="009C7B50" w:rsidP="009C7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6EFF6" w14:textId="77777777" w:rsidR="009C7B50" w:rsidRDefault="009C7B50" w:rsidP="009C7B50">
      <w:pPr>
        <w:spacing w:after="0" w:line="240" w:lineRule="auto"/>
      </w:pPr>
      <w:r>
        <w:separator/>
      </w:r>
    </w:p>
  </w:footnote>
  <w:footnote w:type="continuationSeparator" w:id="0">
    <w:p w14:paraId="3DBF0682" w14:textId="77777777" w:rsidR="009C7B50" w:rsidRDefault="009C7B50" w:rsidP="009C7B50">
      <w:pPr>
        <w:spacing w:after="0" w:line="240" w:lineRule="auto"/>
      </w:pPr>
      <w:r>
        <w:continuationSeparator/>
      </w:r>
    </w:p>
  </w:footnote>
  <w:footnote w:id="1">
    <w:p w14:paraId="233B7047" w14:textId="77777777" w:rsidR="000A0A8E" w:rsidRPr="000A0A8E" w:rsidRDefault="000A0A8E" w:rsidP="000A0A8E">
      <w:pPr>
        <w:pStyle w:val="Notedebasdepage"/>
        <w:rPr>
          <w:lang w:val="en-GB"/>
        </w:rPr>
      </w:pPr>
      <w:r>
        <w:rPr>
          <w:rStyle w:val="Appelnotedebasdep"/>
        </w:rPr>
        <w:footnoteRef/>
      </w:r>
      <w:r w:rsidRPr="00692357">
        <w:rPr>
          <w:lang w:val="nl-NL"/>
        </w:rPr>
        <w:t xml:space="preserve"> </w:t>
      </w:r>
      <w:proofErr w:type="spellStart"/>
      <w:r w:rsidRPr="00692357">
        <w:rPr>
          <w:lang w:val="nl-NL"/>
        </w:rPr>
        <w:t>Minang</w:t>
      </w:r>
      <w:proofErr w:type="spellEnd"/>
      <w:r w:rsidRPr="00692357">
        <w:rPr>
          <w:lang w:val="nl-NL"/>
        </w:rPr>
        <w:t xml:space="preserve">, P. A., van Noordwijk, M., Freeman, O. E., </w:t>
      </w:r>
      <w:proofErr w:type="spellStart"/>
      <w:r w:rsidRPr="00692357">
        <w:rPr>
          <w:lang w:val="nl-NL"/>
        </w:rPr>
        <w:t>Mbow</w:t>
      </w:r>
      <w:proofErr w:type="spellEnd"/>
      <w:r w:rsidRPr="00692357">
        <w:rPr>
          <w:lang w:val="nl-NL"/>
        </w:rPr>
        <w:t xml:space="preserve">, C., de Leeuw, J., &amp; </w:t>
      </w:r>
      <w:proofErr w:type="spellStart"/>
      <w:r w:rsidRPr="00692357">
        <w:rPr>
          <w:lang w:val="nl-NL"/>
        </w:rPr>
        <w:t>Catacutan</w:t>
      </w:r>
      <w:proofErr w:type="spellEnd"/>
      <w:r w:rsidRPr="00692357">
        <w:rPr>
          <w:lang w:val="nl-NL"/>
        </w:rPr>
        <w:t xml:space="preserve">, D. (Eds.) </w:t>
      </w:r>
      <w:r w:rsidRPr="00692357">
        <w:rPr>
          <w:lang w:val="en-US"/>
        </w:rPr>
        <w:t xml:space="preserve">(2015). Climate-Smart Landscapes: </w:t>
      </w:r>
      <w:proofErr w:type="spellStart"/>
      <w:r w:rsidRPr="00692357">
        <w:rPr>
          <w:lang w:val="en-US"/>
        </w:rPr>
        <w:t>Multifunctionality</w:t>
      </w:r>
      <w:proofErr w:type="spellEnd"/>
      <w:r w:rsidRPr="00692357">
        <w:rPr>
          <w:lang w:val="en-US"/>
        </w:rPr>
        <w:t xml:space="preserve"> In Practice. </w:t>
      </w:r>
      <w:r w:rsidRPr="000A0A8E">
        <w:rPr>
          <w:lang w:val="en-GB"/>
        </w:rPr>
        <w:t>Nairobi, Kenya: World Agroforestry Centre (ICRAF).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34311"/>
    <w:multiLevelType w:val="multilevel"/>
    <w:tmpl w:val="6952F39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0"/>
      </w:rPr>
    </w:lvl>
    <w:lvl w:ilvl="2">
      <w:start w:val="1"/>
      <w:numFmt w:val="decimal"/>
      <w:isLgl/>
      <w:lvlText w:val="%1.%2.%3."/>
      <w:lvlJc w:val="left"/>
      <w:pPr>
        <w:ind w:left="720" w:hanging="720"/>
      </w:pPr>
      <w:rPr>
        <w:rFonts w:hint="default"/>
        <w:sz w:val="20"/>
      </w:rPr>
    </w:lvl>
    <w:lvl w:ilvl="3">
      <w:start w:val="1"/>
      <w:numFmt w:val="decimal"/>
      <w:isLgl/>
      <w:lvlText w:val="%1.%2.%3.%4."/>
      <w:lvlJc w:val="left"/>
      <w:pPr>
        <w:ind w:left="1080" w:hanging="1080"/>
      </w:pPr>
      <w:rPr>
        <w:rFonts w:hint="default"/>
        <w:sz w:val="20"/>
      </w:rPr>
    </w:lvl>
    <w:lvl w:ilvl="4">
      <w:start w:val="1"/>
      <w:numFmt w:val="decimal"/>
      <w:isLgl/>
      <w:lvlText w:val="%1.%2.%3.%4.%5."/>
      <w:lvlJc w:val="left"/>
      <w:pPr>
        <w:ind w:left="1080" w:hanging="1080"/>
      </w:pPr>
      <w:rPr>
        <w:rFonts w:hint="default"/>
        <w:sz w:val="20"/>
      </w:rPr>
    </w:lvl>
    <w:lvl w:ilvl="5">
      <w:start w:val="1"/>
      <w:numFmt w:val="decimal"/>
      <w:isLgl/>
      <w:lvlText w:val="%1.%2.%3.%4.%5.%6."/>
      <w:lvlJc w:val="left"/>
      <w:pPr>
        <w:ind w:left="1440" w:hanging="1440"/>
      </w:pPr>
      <w:rPr>
        <w:rFonts w:hint="default"/>
        <w:sz w:val="20"/>
      </w:rPr>
    </w:lvl>
    <w:lvl w:ilvl="6">
      <w:start w:val="1"/>
      <w:numFmt w:val="decimal"/>
      <w:isLgl/>
      <w:lvlText w:val="%1.%2.%3.%4.%5.%6.%7."/>
      <w:lvlJc w:val="left"/>
      <w:pPr>
        <w:ind w:left="1440" w:hanging="1440"/>
      </w:pPr>
      <w:rPr>
        <w:rFonts w:hint="default"/>
        <w:sz w:val="20"/>
      </w:rPr>
    </w:lvl>
    <w:lvl w:ilvl="7">
      <w:start w:val="1"/>
      <w:numFmt w:val="decimal"/>
      <w:isLgl/>
      <w:lvlText w:val="%1.%2.%3.%4.%5.%6.%7.%8."/>
      <w:lvlJc w:val="left"/>
      <w:pPr>
        <w:ind w:left="1800" w:hanging="1800"/>
      </w:pPr>
      <w:rPr>
        <w:rFonts w:hint="default"/>
        <w:sz w:val="20"/>
      </w:rPr>
    </w:lvl>
    <w:lvl w:ilvl="8">
      <w:start w:val="1"/>
      <w:numFmt w:val="decimal"/>
      <w:isLgl/>
      <w:lvlText w:val="%1.%2.%3.%4.%5.%6.%7.%8.%9."/>
      <w:lvlJc w:val="left"/>
      <w:pPr>
        <w:ind w:left="1800" w:hanging="1800"/>
      </w:pPr>
      <w:rPr>
        <w:rFonts w:hint="default"/>
        <w:sz w:val="20"/>
      </w:rPr>
    </w:lvl>
  </w:abstractNum>
  <w:abstractNum w:abstractNumId="1">
    <w:nsid w:val="17195C2E"/>
    <w:multiLevelType w:val="hybridMultilevel"/>
    <w:tmpl w:val="3F3C6BB6"/>
    <w:lvl w:ilvl="0" w:tplc="080C000D">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nsid w:val="1813367E"/>
    <w:multiLevelType w:val="hybridMultilevel"/>
    <w:tmpl w:val="78D4F254"/>
    <w:lvl w:ilvl="0" w:tplc="080C000D">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nsid w:val="1B0E219D"/>
    <w:multiLevelType w:val="hybridMultilevel"/>
    <w:tmpl w:val="5D7CEFA8"/>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nsid w:val="2FD373C6"/>
    <w:multiLevelType w:val="hybridMultilevel"/>
    <w:tmpl w:val="99A4D22A"/>
    <w:lvl w:ilvl="0" w:tplc="02862206">
      <w:start w:val="2"/>
      <w:numFmt w:val="bullet"/>
      <w:lvlText w:val="-"/>
      <w:lvlJc w:val="left"/>
      <w:pPr>
        <w:ind w:left="360" w:hanging="360"/>
      </w:pPr>
      <w:rPr>
        <w:rFonts w:ascii="Calibri" w:eastAsia="Calibri" w:hAnsi="Calibri" w:cs="Times New Roman" w:hint="default"/>
        <w:u w:val="none"/>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nsid w:val="34AD1303"/>
    <w:multiLevelType w:val="hybridMultilevel"/>
    <w:tmpl w:val="6C1CE1EA"/>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nsid w:val="37451430"/>
    <w:multiLevelType w:val="hybridMultilevel"/>
    <w:tmpl w:val="6D7A7FE2"/>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7">
    <w:nsid w:val="3AEF16FD"/>
    <w:multiLevelType w:val="hybridMultilevel"/>
    <w:tmpl w:val="39D04976"/>
    <w:lvl w:ilvl="0" w:tplc="4982870C">
      <w:start w:val="1"/>
      <w:numFmt w:val="bullet"/>
      <w:lvlText w:val=""/>
      <w:lvlJc w:val="left"/>
      <w:pPr>
        <w:ind w:left="720" w:hanging="360"/>
      </w:pPr>
      <w:rPr>
        <w:rFonts w:ascii="Wingdings 3" w:hAnsi="Wingdings 3"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8">
    <w:nsid w:val="47A37F47"/>
    <w:multiLevelType w:val="hybridMultilevel"/>
    <w:tmpl w:val="39364076"/>
    <w:lvl w:ilvl="0" w:tplc="1EE499CC">
      <w:start w:val="2"/>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nsid w:val="54254440"/>
    <w:multiLevelType w:val="hybridMultilevel"/>
    <w:tmpl w:val="1C9CFA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60950766"/>
    <w:multiLevelType w:val="hybridMultilevel"/>
    <w:tmpl w:val="7144CE32"/>
    <w:lvl w:ilvl="0" w:tplc="3774E86E">
      <w:start w:val="6"/>
      <w:numFmt w:val="bullet"/>
      <w:lvlText w:val="-"/>
      <w:lvlJc w:val="left"/>
      <w:pPr>
        <w:ind w:left="360" w:hanging="360"/>
      </w:pPr>
      <w:rPr>
        <w:rFonts w:ascii="Arial" w:eastAsia="Times New Roman"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nsid w:val="64DE6E21"/>
    <w:multiLevelType w:val="hybridMultilevel"/>
    <w:tmpl w:val="4D74E34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nsid w:val="6F0D1278"/>
    <w:multiLevelType w:val="hybridMultilevel"/>
    <w:tmpl w:val="5B8A3122"/>
    <w:lvl w:ilvl="0" w:tplc="4C0A0011">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3">
    <w:nsid w:val="70C34B91"/>
    <w:multiLevelType w:val="hybridMultilevel"/>
    <w:tmpl w:val="D2A48F02"/>
    <w:lvl w:ilvl="0" w:tplc="1EE499CC">
      <w:start w:val="2"/>
      <w:numFmt w:val="bullet"/>
      <w:lvlText w:val="-"/>
      <w:lvlJc w:val="left"/>
      <w:pPr>
        <w:ind w:left="360" w:hanging="360"/>
      </w:pPr>
      <w:rPr>
        <w:rFonts w:ascii="Arial" w:eastAsiaTheme="minorHAnsi" w:hAnsi="Arial" w:cs="Arial" w:hint="default"/>
      </w:rPr>
    </w:lvl>
    <w:lvl w:ilvl="1" w:tplc="C4A8EF9C" w:tentative="1">
      <w:start w:val="1"/>
      <w:numFmt w:val="bullet"/>
      <w:lvlText w:val="o"/>
      <w:lvlJc w:val="left"/>
      <w:pPr>
        <w:ind w:left="1080" w:hanging="360"/>
      </w:pPr>
      <w:rPr>
        <w:rFonts w:ascii="Courier New" w:hAnsi="Courier New" w:cs="Courier New" w:hint="default"/>
      </w:rPr>
    </w:lvl>
    <w:lvl w:ilvl="2" w:tplc="F730AB72" w:tentative="1">
      <w:start w:val="1"/>
      <w:numFmt w:val="bullet"/>
      <w:lvlText w:val=""/>
      <w:lvlJc w:val="left"/>
      <w:pPr>
        <w:ind w:left="1800" w:hanging="360"/>
      </w:pPr>
      <w:rPr>
        <w:rFonts w:ascii="Wingdings" w:hAnsi="Wingdings" w:hint="default"/>
      </w:rPr>
    </w:lvl>
    <w:lvl w:ilvl="3" w:tplc="C406B0C2" w:tentative="1">
      <w:start w:val="1"/>
      <w:numFmt w:val="bullet"/>
      <w:lvlText w:val=""/>
      <w:lvlJc w:val="left"/>
      <w:pPr>
        <w:ind w:left="2520" w:hanging="360"/>
      </w:pPr>
      <w:rPr>
        <w:rFonts w:ascii="Symbol" w:hAnsi="Symbol" w:hint="default"/>
      </w:rPr>
    </w:lvl>
    <w:lvl w:ilvl="4" w:tplc="95B84FB2" w:tentative="1">
      <w:start w:val="1"/>
      <w:numFmt w:val="bullet"/>
      <w:lvlText w:val="o"/>
      <w:lvlJc w:val="left"/>
      <w:pPr>
        <w:ind w:left="3240" w:hanging="360"/>
      </w:pPr>
      <w:rPr>
        <w:rFonts w:ascii="Courier New" w:hAnsi="Courier New" w:cs="Courier New" w:hint="default"/>
      </w:rPr>
    </w:lvl>
    <w:lvl w:ilvl="5" w:tplc="F63E7490" w:tentative="1">
      <w:start w:val="1"/>
      <w:numFmt w:val="bullet"/>
      <w:lvlText w:val=""/>
      <w:lvlJc w:val="left"/>
      <w:pPr>
        <w:ind w:left="3960" w:hanging="360"/>
      </w:pPr>
      <w:rPr>
        <w:rFonts w:ascii="Wingdings" w:hAnsi="Wingdings" w:hint="default"/>
      </w:rPr>
    </w:lvl>
    <w:lvl w:ilvl="6" w:tplc="35485B80" w:tentative="1">
      <w:start w:val="1"/>
      <w:numFmt w:val="bullet"/>
      <w:lvlText w:val=""/>
      <w:lvlJc w:val="left"/>
      <w:pPr>
        <w:ind w:left="4680" w:hanging="360"/>
      </w:pPr>
      <w:rPr>
        <w:rFonts w:ascii="Symbol" w:hAnsi="Symbol" w:hint="default"/>
      </w:rPr>
    </w:lvl>
    <w:lvl w:ilvl="7" w:tplc="C1C41ABA" w:tentative="1">
      <w:start w:val="1"/>
      <w:numFmt w:val="bullet"/>
      <w:lvlText w:val="o"/>
      <w:lvlJc w:val="left"/>
      <w:pPr>
        <w:ind w:left="5400" w:hanging="360"/>
      </w:pPr>
      <w:rPr>
        <w:rFonts w:ascii="Courier New" w:hAnsi="Courier New" w:cs="Courier New" w:hint="default"/>
      </w:rPr>
    </w:lvl>
    <w:lvl w:ilvl="8" w:tplc="CF102D28" w:tentative="1">
      <w:start w:val="1"/>
      <w:numFmt w:val="bullet"/>
      <w:lvlText w:val=""/>
      <w:lvlJc w:val="left"/>
      <w:pPr>
        <w:ind w:left="6120" w:hanging="360"/>
      </w:pPr>
      <w:rPr>
        <w:rFonts w:ascii="Wingdings" w:hAnsi="Wingdings" w:hint="default"/>
      </w:rPr>
    </w:lvl>
  </w:abstractNum>
  <w:abstractNum w:abstractNumId="14">
    <w:nsid w:val="71870DE3"/>
    <w:multiLevelType w:val="hybridMultilevel"/>
    <w:tmpl w:val="1E365242"/>
    <w:lvl w:ilvl="0" w:tplc="080C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8790BA2"/>
    <w:multiLevelType w:val="multilevel"/>
    <w:tmpl w:val="DC82E5B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1"/>
  </w:num>
  <w:num w:numId="3">
    <w:abstractNumId w:val="4"/>
  </w:num>
  <w:num w:numId="4">
    <w:abstractNumId w:val="0"/>
  </w:num>
  <w:num w:numId="5">
    <w:abstractNumId w:val="15"/>
  </w:num>
  <w:num w:numId="6">
    <w:abstractNumId w:val="8"/>
  </w:num>
  <w:num w:numId="7">
    <w:abstractNumId w:val="9"/>
  </w:num>
  <w:num w:numId="8">
    <w:abstractNumId w:val="14"/>
  </w:num>
  <w:num w:numId="9">
    <w:abstractNumId w:val="2"/>
  </w:num>
  <w:num w:numId="10">
    <w:abstractNumId w:val="3"/>
  </w:num>
  <w:num w:numId="11">
    <w:abstractNumId w:val="10"/>
  </w:num>
  <w:num w:numId="12">
    <w:abstractNumId w:val="5"/>
  </w:num>
  <w:num w:numId="13">
    <w:abstractNumId w:val="1"/>
  </w:num>
  <w:num w:numId="14">
    <w:abstractNumId w:val="7"/>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53F"/>
    <w:rsid w:val="000A0A8E"/>
    <w:rsid w:val="003D5085"/>
    <w:rsid w:val="008B78D8"/>
    <w:rsid w:val="009C7B50"/>
    <w:rsid w:val="00A1053F"/>
    <w:rsid w:val="00D81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fr-BE" w:eastAsia="fr-BE"/>
    </w:rPr>
  </w:style>
  <w:style w:type="paragraph" w:styleId="Titre1">
    <w:name w:val="heading 1"/>
    <w:aliases w:val="Title 1"/>
    <w:basedOn w:val="Normal"/>
    <w:next w:val="Normal"/>
    <w:link w:val="Titre1Car"/>
    <w:qFormat/>
    <w:rsid w:val="00A1053F"/>
    <w:pPr>
      <w:shd w:val="clear" w:color="auto" w:fill="D81A1C"/>
      <w:autoSpaceDE w:val="0"/>
      <w:autoSpaceDN w:val="0"/>
      <w:adjustRightInd w:val="0"/>
      <w:spacing w:before="240" w:after="240"/>
      <w:outlineLvl w:val="0"/>
    </w:pPr>
    <w:rPr>
      <w:rFonts w:cs="Calibri"/>
      <w:b/>
      <w:color w:val="FFFFFF"/>
      <w:sz w:val="32"/>
      <w:szCs w:val="32"/>
      <w:lang w:eastAsia="en-US"/>
    </w:rPr>
  </w:style>
  <w:style w:type="paragraph" w:styleId="Titre2">
    <w:name w:val="heading 2"/>
    <w:aliases w:val="Chapter Title,Title 2"/>
    <w:basedOn w:val="Normal"/>
    <w:next w:val="Normal"/>
    <w:link w:val="Titre2Car"/>
    <w:unhideWhenUsed/>
    <w:qFormat/>
    <w:rsid w:val="00A1053F"/>
    <w:pPr>
      <w:keepNext/>
      <w:keepLines/>
      <w:spacing w:before="120" w:after="120" w:line="240" w:lineRule="auto"/>
      <w:outlineLvl w:val="1"/>
    </w:pPr>
    <w:rPr>
      <w:rFonts w:eastAsia="Times New Roman"/>
      <w:b/>
      <w:color w:val="D81A1A"/>
      <w:sz w:val="28"/>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1053F"/>
    <w:rPr>
      <w:rFonts w:ascii="Times New Roman" w:eastAsia="Times New Roman"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A1053F"/>
    <w:pPr>
      <w:ind w:left="720"/>
      <w:contextualSpacing/>
    </w:pPr>
    <w:rPr>
      <w:lang w:val="fr-FR" w:eastAsia="en-US"/>
    </w:rPr>
  </w:style>
  <w:style w:type="paragraph" w:customStyle="1" w:styleId="Default">
    <w:name w:val="Default"/>
    <w:rsid w:val="00A1053F"/>
    <w:pPr>
      <w:autoSpaceDE w:val="0"/>
      <w:autoSpaceDN w:val="0"/>
      <w:adjustRightInd w:val="0"/>
    </w:pPr>
    <w:rPr>
      <w:rFonts w:ascii="Arial" w:eastAsia="Times New Roman" w:hAnsi="Arial" w:cs="Arial"/>
      <w:color w:val="000000"/>
      <w:sz w:val="24"/>
      <w:szCs w:val="24"/>
      <w:lang w:val="fr-FR" w:eastAsia="fr-FR"/>
    </w:rPr>
  </w:style>
  <w:style w:type="character" w:customStyle="1" w:styleId="Titre1Car">
    <w:name w:val="Titre 1 Car"/>
    <w:aliases w:val="Title 1 Car"/>
    <w:basedOn w:val="Policepardfaut"/>
    <w:link w:val="Titre1"/>
    <w:rsid w:val="00A1053F"/>
    <w:rPr>
      <w:rFonts w:cs="Calibri"/>
      <w:b/>
      <w:color w:val="FFFFFF"/>
      <w:sz w:val="32"/>
      <w:szCs w:val="32"/>
      <w:shd w:val="clear" w:color="auto" w:fill="D81A1C"/>
      <w:lang w:val="fr-BE"/>
    </w:rPr>
  </w:style>
  <w:style w:type="character" w:customStyle="1" w:styleId="Titre2Car">
    <w:name w:val="Titre 2 Car"/>
    <w:aliases w:val="Chapter Title Car,Title 2 Car"/>
    <w:basedOn w:val="Policepardfaut"/>
    <w:link w:val="Titre2"/>
    <w:rsid w:val="00A1053F"/>
    <w:rPr>
      <w:rFonts w:eastAsia="Times New Roman"/>
      <w:b/>
      <w:color w:val="D81A1A"/>
      <w:sz w:val="28"/>
      <w:szCs w:val="26"/>
      <w:lang w:val="fr-BE"/>
    </w:rPr>
  </w:style>
  <w:style w:type="paragraph" w:styleId="Notedebasdepage">
    <w:name w:val="footnote text"/>
    <w:aliases w:val="Texto nota pie Car Car Car Car,Texto nota pie1"/>
    <w:basedOn w:val="Normal"/>
    <w:link w:val="NotedebasdepageCar"/>
    <w:uiPriority w:val="99"/>
    <w:unhideWhenUsed/>
    <w:qFormat/>
    <w:rsid w:val="009C7B50"/>
    <w:rPr>
      <w:sz w:val="20"/>
      <w:szCs w:val="20"/>
    </w:rPr>
  </w:style>
  <w:style w:type="character" w:customStyle="1" w:styleId="NotedebasdepageCar">
    <w:name w:val="Note de bas de page Car"/>
    <w:aliases w:val="Texto nota pie Car Car Car Car Car,Texto nota pie1 Car"/>
    <w:basedOn w:val="Policepardfaut"/>
    <w:link w:val="Notedebasdepage"/>
    <w:uiPriority w:val="99"/>
    <w:rsid w:val="009C7B50"/>
    <w:rPr>
      <w:lang w:val="fr-BE" w:eastAsia="fr-BE"/>
    </w:rPr>
  </w:style>
  <w:style w:type="character" w:styleId="Appelnotedebasdep">
    <w:name w:val="footnote reference"/>
    <w:aliases w:val="ftref,Error-Fußnotenzeichen5,Error-Fußnotenzeichen6,Error-Fußnotenzeichen3,Footnote Reference1,BVI fnr,Footnote Reference Number,Footnote Reference_LVL6,Footnote Reference_LVL61,Footnote Reference_LVL62,Footnote Reference_LVL63"/>
    <w:uiPriority w:val="99"/>
    <w:rsid w:val="009C7B50"/>
    <w:rPr>
      <w:vertAlign w:val="superscript"/>
    </w:rPr>
  </w:style>
  <w:style w:type="paragraph" w:styleId="Corpsdetexte">
    <w:name w:val="Body Text"/>
    <w:basedOn w:val="Normal"/>
    <w:link w:val="CorpsdetexteCar"/>
    <w:semiHidden/>
    <w:rsid w:val="000A0A8E"/>
    <w:pPr>
      <w:spacing w:after="0" w:line="240" w:lineRule="auto"/>
      <w:jc w:val="both"/>
    </w:pPr>
    <w:rPr>
      <w:rFonts w:ascii="Arial" w:eastAsia="Times New Roman" w:hAnsi="Arial" w:cs="Arial"/>
      <w:sz w:val="20"/>
      <w:szCs w:val="24"/>
      <w:lang w:eastAsia="en-US"/>
    </w:rPr>
  </w:style>
  <w:style w:type="character" w:customStyle="1" w:styleId="CorpsdetexteCar">
    <w:name w:val="Corps de texte Car"/>
    <w:basedOn w:val="Policepardfaut"/>
    <w:link w:val="Corpsdetexte"/>
    <w:semiHidden/>
    <w:rsid w:val="000A0A8E"/>
    <w:rPr>
      <w:rFonts w:ascii="Arial" w:eastAsia="Times New Roman" w:hAnsi="Arial" w:cs="Arial"/>
      <w:szCs w:val="24"/>
      <w:lang w:val="fr-BE"/>
    </w:rPr>
  </w:style>
  <w:style w:type="paragraph" w:styleId="Sansinterligne">
    <w:name w:val="No Spacing"/>
    <w:uiPriority w:val="1"/>
    <w:qFormat/>
    <w:rsid w:val="000A0A8E"/>
    <w:pPr>
      <w:jc w:val="both"/>
    </w:pPr>
    <w:rPr>
      <w:sz w:val="22"/>
      <w:szCs w:val="22"/>
      <w:lang w:val="es-NI"/>
    </w:rPr>
  </w:style>
  <w:style w:type="character" w:customStyle="1" w:styleId="ParagraphedelisteCar">
    <w:name w:val="Paragraphe de liste Car"/>
    <w:link w:val="Paragraphedeliste"/>
    <w:uiPriority w:val="34"/>
    <w:locked/>
    <w:rsid w:val="000A0A8E"/>
    <w:rPr>
      <w:sz w:val="22"/>
      <w:szCs w:val="2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3311</Words>
  <Characters>18212</Characters>
  <Application>Microsoft Office Word</Application>
  <DocSecurity>0</DocSecurity>
  <Lines>151</Lines>
  <Paragraphs>42</Paragraphs>
  <ScaleCrop>false</ScaleCrop>
  <Company>BTCCTB</Company>
  <LinksUpToDate>false</LinksUpToDate>
  <CharactersWithSpaces>21481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CEYSSENS, Claire</dc:creator>
  <cp:lastModifiedBy>CEYSSENS, Claire</cp:lastModifiedBy>
  <cp:revision>4</cp:revision>
  <dcterms:created xsi:type="dcterms:W3CDTF">2018-03-09T14:06:00Z</dcterms:created>
  <dcterms:modified xsi:type="dcterms:W3CDTF">2018-10-02T09:29:00Z</dcterms:modified>
</cp:coreProperties>
</file>